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CBF07" w14:textId="70251943" w:rsidR="00F41716" w:rsidRPr="001745C8" w:rsidRDefault="00034F7A" w:rsidP="00F41716">
      <w:pPr>
        <w:jc w:val="center"/>
        <w:rPr>
          <w:rFonts w:cstheme="minorHAnsi"/>
          <w:b/>
          <w:bCs/>
          <w:sz w:val="20"/>
          <w:szCs w:val="20"/>
        </w:rPr>
      </w:pPr>
      <w:bookmarkStart w:id="0" w:name="_GoBack"/>
      <w:bookmarkEnd w:id="0"/>
      <w:r w:rsidRPr="001745C8">
        <w:rPr>
          <w:rFonts w:cstheme="minorHAnsi"/>
          <w:b/>
          <w:bCs/>
          <w:noProof/>
          <w:sz w:val="20"/>
          <w:szCs w:val="20"/>
        </w:rPr>
        <w:drawing>
          <wp:anchor distT="0" distB="0" distL="114300" distR="114300" simplePos="0" relativeHeight="251658240" behindDoc="0" locked="0" layoutInCell="1" allowOverlap="1" wp14:anchorId="0F8FB1A6" wp14:editId="4A9F30F5">
            <wp:simplePos x="0" y="0"/>
            <wp:positionH relativeFrom="column">
              <wp:posOffset>-107950</wp:posOffset>
            </wp:positionH>
            <wp:positionV relativeFrom="paragraph">
              <wp:posOffset>-260350</wp:posOffset>
            </wp:positionV>
            <wp:extent cx="2012950" cy="314523"/>
            <wp:effectExtent l="0" t="0" r="0" b="9525"/>
            <wp:wrapNone/>
            <wp:docPr id="1" name="Picture 1" descr="LSUS Dept of Education_Signature_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US Dept of Education_Signature_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5986" cy="314997"/>
                    </a:xfrm>
                    <a:prstGeom prst="rect">
                      <a:avLst/>
                    </a:prstGeom>
                    <a:noFill/>
                    <a:ln>
                      <a:noFill/>
                    </a:ln>
                  </pic:spPr>
                </pic:pic>
              </a:graphicData>
            </a:graphic>
            <wp14:sizeRelH relativeFrom="page">
              <wp14:pctWidth>0</wp14:pctWidth>
            </wp14:sizeRelH>
            <wp14:sizeRelV relativeFrom="page">
              <wp14:pctHeight>0</wp14:pctHeight>
            </wp14:sizeRelV>
          </wp:anchor>
        </w:drawing>
      </w:r>
      <w:r w:rsidR="00F41716" w:rsidRPr="001745C8">
        <w:rPr>
          <w:rFonts w:cstheme="minorHAnsi"/>
          <w:b/>
          <w:bCs/>
          <w:sz w:val="20"/>
          <w:szCs w:val="20"/>
        </w:rPr>
        <w:t>Elementary Education Faculty</w:t>
      </w:r>
      <w:r w:rsidRPr="001745C8">
        <w:rPr>
          <w:rFonts w:cstheme="minorHAnsi"/>
          <w:b/>
          <w:bCs/>
          <w:sz w:val="20"/>
          <w:szCs w:val="20"/>
        </w:rPr>
        <w:br/>
      </w:r>
      <w:r w:rsidR="00F41716" w:rsidRPr="001745C8">
        <w:rPr>
          <w:rFonts w:cstheme="minorHAnsi"/>
          <w:b/>
          <w:bCs/>
          <w:sz w:val="20"/>
          <w:szCs w:val="20"/>
        </w:rPr>
        <w:t>9-Month Tenure-Track Position</w:t>
      </w:r>
    </w:p>
    <w:p w14:paraId="10F9227F" w14:textId="7CFCB5DD" w:rsidR="00F41716" w:rsidRPr="001745C8" w:rsidRDefault="00F41716" w:rsidP="00F41716">
      <w:pPr>
        <w:pStyle w:val="NormalWeb"/>
        <w:shd w:val="clear" w:color="auto" w:fill="FFFFFF"/>
        <w:spacing w:before="0" w:beforeAutospacing="0" w:after="225" w:afterAutospacing="0"/>
        <w:rPr>
          <w:rFonts w:asciiTheme="minorHAnsi" w:hAnsiTheme="minorHAnsi" w:cstheme="minorHAnsi"/>
          <w:sz w:val="20"/>
          <w:szCs w:val="20"/>
        </w:rPr>
      </w:pPr>
      <w:r w:rsidRPr="001745C8">
        <w:rPr>
          <w:rFonts w:asciiTheme="minorHAnsi" w:hAnsiTheme="minorHAnsi" w:cstheme="minorHAnsi"/>
          <w:sz w:val="20"/>
          <w:szCs w:val="20"/>
        </w:rPr>
        <w:t xml:space="preserve">The </w:t>
      </w:r>
      <w:r w:rsidR="004F19D4">
        <w:rPr>
          <w:rFonts w:asciiTheme="minorHAnsi" w:hAnsiTheme="minorHAnsi" w:cstheme="minorHAnsi"/>
          <w:sz w:val="20"/>
          <w:szCs w:val="20"/>
        </w:rPr>
        <w:t>Council for the Accreditation of Educator Preparation (</w:t>
      </w:r>
      <w:r w:rsidRPr="001745C8">
        <w:rPr>
          <w:rFonts w:asciiTheme="minorHAnsi" w:hAnsiTheme="minorHAnsi" w:cstheme="minorHAnsi"/>
          <w:sz w:val="20"/>
          <w:szCs w:val="20"/>
        </w:rPr>
        <w:t>CAEP</w:t>
      </w:r>
      <w:r w:rsidR="004F19D4">
        <w:rPr>
          <w:rFonts w:asciiTheme="minorHAnsi" w:hAnsiTheme="minorHAnsi" w:cstheme="minorHAnsi"/>
          <w:sz w:val="20"/>
          <w:szCs w:val="20"/>
        </w:rPr>
        <w:t>)</w:t>
      </w:r>
      <w:r w:rsidRPr="001745C8">
        <w:rPr>
          <w:rFonts w:asciiTheme="minorHAnsi" w:hAnsiTheme="minorHAnsi" w:cstheme="minorHAnsi"/>
          <w:sz w:val="20"/>
          <w:szCs w:val="20"/>
        </w:rPr>
        <w:t xml:space="preserve"> accredited Department of Education at Louisiana State University in Shreveport seeks applications for Assistant/Associate Professor of Elementary Education. </w:t>
      </w:r>
      <w:r w:rsidRPr="001745C8">
        <w:rPr>
          <w:rFonts w:asciiTheme="minorHAnsi" w:hAnsiTheme="minorHAnsi" w:cstheme="minorHAnsi"/>
          <w:color w:val="333333"/>
          <w:sz w:val="20"/>
          <w:szCs w:val="20"/>
        </w:rPr>
        <w:t>Applicants must be strongly committed to excellence in teaching and advising, and to working in an environment that fosters diversity. They must also have an ability to use technology effectively in teaching and learning, the ability to work collaboratively, evidence of scholarly activity, and a commitment to public higher education.</w:t>
      </w:r>
    </w:p>
    <w:p w14:paraId="40AD2965" w14:textId="77777777" w:rsidR="00F41716" w:rsidRDefault="00F41716" w:rsidP="00F41716">
      <w:pPr>
        <w:rPr>
          <w:b/>
          <w:bCs/>
          <w:sz w:val="21"/>
          <w:szCs w:val="21"/>
        </w:rPr>
      </w:pPr>
      <w:r>
        <w:rPr>
          <w:b/>
          <w:bCs/>
          <w:sz w:val="21"/>
          <w:szCs w:val="21"/>
        </w:rPr>
        <w:t>Qualifications:</w:t>
      </w:r>
    </w:p>
    <w:p w14:paraId="4E19D790" w14:textId="77777777" w:rsidR="00F41716" w:rsidRPr="00170E2F" w:rsidRDefault="00F41716" w:rsidP="00F41716">
      <w:pPr>
        <w:rPr>
          <w:sz w:val="21"/>
          <w:szCs w:val="21"/>
        </w:rPr>
      </w:pPr>
      <w:r w:rsidRPr="00170E2F">
        <w:rPr>
          <w:b/>
          <w:bCs/>
          <w:sz w:val="21"/>
          <w:szCs w:val="21"/>
        </w:rPr>
        <w:t>Required:</w:t>
      </w:r>
    </w:p>
    <w:p w14:paraId="506FA147" w14:textId="73192613" w:rsidR="00034F7A" w:rsidRPr="007E6EB6" w:rsidRDefault="007E6EB6" w:rsidP="00DB74C8">
      <w:pPr>
        <w:widowControl w:val="0"/>
        <w:numPr>
          <w:ilvl w:val="0"/>
          <w:numId w:val="1"/>
        </w:numPr>
        <w:spacing w:after="0" w:line="240" w:lineRule="auto"/>
        <w:rPr>
          <w:sz w:val="20"/>
          <w:szCs w:val="20"/>
        </w:rPr>
      </w:pPr>
      <w:r>
        <w:rPr>
          <w:color w:val="000000"/>
          <w:sz w:val="20"/>
          <w:szCs w:val="20"/>
        </w:rPr>
        <w:t xml:space="preserve">Earned </w:t>
      </w:r>
      <w:r w:rsidR="002A1A7D">
        <w:rPr>
          <w:color w:val="000000"/>
          <w:sz w:val="20"/>
          <w:szCs w:val="20"/>
        </w:rPr>
        <w:t xml:space="preserve">Doctorate </w:t>
      </w:r>
      <w:r>
        <w:rPr>
          <w:color w:val="000000"/>
          <w:sz w:val="20"/>
          <w:szCs w:val="20"/>
        </w:rPr>
        <w:t xml:space="preserve">degree </w:t>
      </w:r>
      <w:r w:rsidR="002A1A7D">
        <w:rPr>
          <w:color w:val="000000"/>
          <w:sz w:val="20"/>
          <w:szCs w:val="20"/>
        </w:rPr>
        <w:t xml:space="preserve">in </w:t>
      </w:r>
      <w:r>
        <w:rPr>
          <w:color w:val="000000"/>
          <w:sz w:val="20"/>
          <w:szCs w:val="20"/>
        </w:rPr>
        <w:t>e</w:t>
      </w:r>
      <w:r w:rsidR="002A1A7D">
        <w:rPr>
          <w:color w:val="000000"/>
          <w:sz w:val="20"/>
          <w:szCs w:val="20"/>
        </w:rPr>
        <w:t>ducation</w:t>
      </w:r>
      <w:r w:rsidR="00AD36EF">
        <w:rPr>
          <w:color w:val="000000"/>
          <w:sz w:val="20"/>
          <w:szCs w:val="20"/>
        </w:rPr>
        <w:t>; Spring 2024</w:t>
      </w:r>
    </w:p>
    <w:p w14:paraId="3905D1B4" w14:textId="54D13CBC" w:rsidR="007E6EB6" w:rsidRPr="001745C8" w:rsidRDefault="007E6EB6" w:rsidP="00DB74C8">
      <w:pPr>
        <w:widowControl w:val="0"/>
        <w:numPr>
          <w:ilvl w:val="0"/>
          <w:numId w:val="1"/>
        </w:numPr>
        <w:spacing w:after="0" w:line="240" w:lineRule="auto"/>
        <w:rPr>
          <w:sz w:val="20"/>
          <w:szCs w:val="20"/>
        </w:rPr>
      </w:pPr>
      <w:r>
        <w:rPr>
          <w:sz w:val="20"/>
          <w:szCs w:val="20"/>
        </w:rPr>
        <w:t xml:space="preserve">Elementary Education certification </w:t>
      </w:r>
    </w:p>
    <w:p w14:paraId="658B0532" w14:textId="7BCC2282" w:rsidR="00F41716" w:rsidRPr="001745C8" w:rsidRDefault="00F41716" w:rsidP="00DB74C8">
      <w:pPr>
        <w:widowControl w:val="0"/>
        <w:numPr>
          <w:ilvl w:val="0"/>
          <w:numId w:val="1"/>
        </w:numPr>
        <w:spacing w:after="0" w:line="240" w:lineRule="auto"/>
        <w:rPr>
          <w:sz w:val="20"/>
          <w:szCs w:val="20"/>
        </w:rPr>
      </w:pPr>
      <w:r w:rsidRPr="001745C8">
        <w:rPr>
          <w:sz w:val="20"/>
          <w:szCs w:val="20"/>
        </w:rPr>
        <w:t xml:space="preserve">Minimum of five years of teaching experience in </w:t>
      </w:r>
      <w:r w:rsidR="007E6EB6">
        <w:rPr>
          <w:sz w:val="20"/>
          <w:szCs w:val="20"/>
        </w:rPr>
        <w:t>PK-5</w:t>
      </w:r>
      <w:r w:rsidRPr="001745C8">
        <w:rPr>
          <w:sz w:val="20"/>
          <w:szCs w:val="20"/>
        </w:rPr>
        <w:t xml:space="preserve">  </w:t>
      </w:r>
    </w:p>
    <w:p w14:paraId="2153384A" w14:textId="77777777" w:rsidR="00F41716" w:rsidRPr="001745C8" w:rsidRDefault="00F41716" w:rsidP="00FB6355">
      <w:pPr>
        <w:widowControl w:val="0"/>
        <w:numPr>
          <w:ilvl w:val="0"/>
          <w:numId w:val="1"/>
        </w:numPr>
        <w:spacing w:after="0" w:line="240" w:lineRule="auto"/>
        <w:rPr>
          <w:sz w:val="20"/>
          <w:szCs w:val="20"/>
        </w:rPr>
      </w:pPr>
      <w:r w:rsidRPr="001745C8">
        <w:rPr>
          <w:sz w:val="20"/>
          <w:szCs w:val="20"/>
        </w:rPr>
        <w:t xml:space="preserve">Qualified to teach </w:t>
      </w:r>
      <w:r w:rsidRPr="001745C8">
        <w:rPr>
          <w:color w:val="000000"/>
          <w:sz w:val="20"/>
          <w:szCs w:val="20"/>
        </w:rPr>
        <w:t>undergraduate methods and materials courses in mathematics</w:t>
      </w:r>
      <w:r w:rsidRPr="001745C8">
        <w:rPr>
          <w:sz w:val="20"/>
          <w:szCs w:val="20"/>
        </w:rPr>
        <w:t xml:space="preserve"> </w:t>
      </w:r>
    </w:p>
    <w:p w14:paraId="10A342A8" w14:textId="77777777" w:rsidR="00F41716" w:rsidRPr="001745C8" w:rsidRDefault="00F41716" w:rsidP="00FB6355">
      <w:pPr>
        <w:widowControl w:val="0"/>
        <w:numPr>
          <w:ilvl w:val="0"/>
          <w:numId w:val="1"/>
        </w:numPr>
        <w:spacing w:after="0" w:line="240" w:lineRule="auto"/>
        <w:rPr>
          <w:sz w:val="20"/>
          <w:szCs w:val="20"/>
        </w:rPr>
      </w:pPr>
      <w:r w:rsidRPr="001745C8">
        <w:rPr>
          <w:sz w:val="20"/>
          <w:szCs w:val="20"/>
        </w:rPr>
        <w:t xml:space="preserve">Qualified to teach </w:t>
      </w:r>
      <w:r w:rsidRPr="001745C8">
        <w:rPr>
          <w:color w:val="000000"/>
          <w:sz w:val="20"/>
          <w:szCs w:val="20"/>
        </w:rPr>
        <w:t xml:space="preserve">undergraduate methods and materials courses in </w:t>
      </w:r>
      <w:r w:rsidRPr="001745C8">
        <w:rPr>
          <w:sz w:val="20"/>
          <w:szCs w:val="20"/>
        </w:rPr>
        <w:t xml:space="preserve">science/social studies </w:t>
      </w:r>
    </w:p>
    <w:p w14:paraId="6240DD5A" w14:textId="77777777" w:rsidR="00F41716" w:rsidRPr="001745C8" w:rsidRDefault="00F41716" w:rsidP="00F41716">
      <w:pPr>
        <w:widowControl w:val="0"/>
        <w:numPr>
          <w:ilvl w:val="0"/>
          <w:numId w:val="1"/>
        </w:numPr>
        <w:spacing w:after="0" w:line="240" w:lineRule="auto"/>
        <w:rPr>
          <w:sz w:val="20"/>
          <w:szCs w:val="20"/>
        </w:rPr>
      </w:pPr>
      <w:r w:rsidRPr="001745C8">
        <w:rPr>
          <w:sz w:val="20"/>
          <w:szCs w:val="20"/>
        </w:rPr>
        <w:t>Evidence of collaboration with local school systems, community agencies and other professionals</w:t>
      </w:r>
    </w:p>
    <w:p w14:paraId="6D78B9FB" w14:textId="77777777" w:rsidR="00F41716" w:rsidRPr="001745C8" w:rsidRDefault="00F41716" w:rsidP="00F41716">
      <w:pPr>
        <w:widowControl w:val="0"/>
        <w:numPr>
          <w:ilvl w:val="0"/>
          <w:numId w:val="1"/>
        </w:numPr>
        <w:spacing w:after="0" w:line="240" w:lineRule="auto"/>
        <w:rPr>
          <w:sz w:val="20"/>
          <w:szCs w:val="20"/>
        </w:rPr>
      </w:pPr>
      <w:r w:rsidRPr="001745C8">
        <w:rPr>
          <w:sz w:val="20"/>
          <w:szCs w:val="20"/>
        </w:rPr>
        <w:t>Evidence of the application of technology</w:t>
      </w:r>
    </w:p>
    <w:p w14:paraId="4B83CECA" w14:textId="77777777" w:rsidR="00F41716" w:rsidRPr="001745C8" w:rsidRDefault="00F41716" w:rsidP="00F41716">
      <w:pPr>
        <w:widowControl w:val="0"/>
        <w:numPr>
          <w:ilvl w:val="0"/>
          <w:numId w:val="1"/>
        </w:numPr>
        <w:spacing w:after="0" w:line="240" w:lineRule="auto"/>
        <w:rPr>
          <w:sz w:val="20"/>
          <w:szCs w:val="20"/>
        </w:rPr>
      </w:pPr>
      <w:r w:rsidRPr="001745C8">
        <w:rPr>
          <w:sz w:val="20"/>
          <w:szCs w:val="20"/>
        </w:rPr>
        <w:t xml:space="preserve">Experience with data-driven instructional decision making and co-teaching </w:t>
      </w:r>
    </w:p>
    <w:p w14:paraId="5495C853" w14:textId="7AA37723" w:rsidR="002A1A7D" w:rsidRDefault="00F41716" w:rsidP="00F41716">
      <w:pPr>
        <w:widowControl w:val="0"/>
        <w:numPr>
          <w:ilvl w:val="0"/>
          <w:numId w:val="1"/>
        </w:numPr>
        <w:spacing w:after="0" w:line="240" w:lineRule="auto"/>
        <w:rPr>
          <w:sz w:val="20"/>
          <w:szCs w:val="20"/>
        </w:rPr>
      </w:pPr>
      <w:r w:rsidRPr="001745C8">
        <w:rPr>
          <w:sz w:val="20"/>
          <w:szCs w:val="20"/>
        </w:rPr>
        <w:t>Evidence of scholarly activities</w:t>
      </w:r>
      <w:r w:rsidR="00C06ECE">
        <w:rPr>
          <w:sz w:val="20"/>
          <w:szCs w:val="20"/>
        </w:rPr>
        <w:t xml:space="preserve"> (</w:t>
      </w:r>
      <w:r w:rsidR="00AD36EF">
        <w:rPr>
          <w:sz w:val="20"/>
          <w:szCs w:val="20"/>
        </w:rPr>
        <w:t>i.e.,</w:t>
      </w:r>
      <w:r w:rsidR="00C06ECE">
        <w:rPr>
          <w:sz w:val="20"/>
          <w:szCs w:val="20"/>
        </w:rPr>
        <w:t xml:space="preserve"> journal articles, research projects, grant writing, etc.)</w:t>
      </w:r>
    </w:p>
    <w:p w14:paraId="1AA0F7EC" w14:textId="179D63F1" w:rsidR="00F41716" w:rsidRPr="001745C8" w:rsidRDefault="002A1A7D" w:rsidP="00F41716">
      <w:pPr>
        <w:widowControl w:val="0"/>
        <w:numPr>
          <w:ilvl w:val="0"/>
          <w:numId w:val="1"/>
        </w:numPr>
        <w:spacing w:after="0" w:line="240" w:lineRule="auto"/>
        <w:rPr>
          <w:sz w:val="20"/>
          <w:szCs w:val="20"/>
        </w:rPr>
      </w:pPr>
      <w:r>
        <w:rPr>
          <w:sz w:val="20"/>
          <w:szCs w:val="20"/>
        </w:rPr>
        <w:t>Evidence of meeting the needs of diverse students</w:t>
      </w:r>
      <w:r w:rsidR="001745C8">
        <w:rPr>
          <w:sz w:val="20"/>
          <w:szCs w:val="20"/>
        </w:rPr>
        <w:br/>
      </w:r>
    </w:p>
    <w:p w14:paraId="2C53D8BA" w14:textId="77777777" w:rsidR="00F41716" w:rsidRPr="00170E2F" w:rsidRDefault="00F41716" w:rsidP="00F41716">
      <w:pPr>
        <w:rPr>
          <w:sz w:val="21"/>
          <w:szCs w:val="21"/>
        </w:rPr>
      </w:pPr>
      <w:r w:rsidRPr="00170E2F">
        <w:rPr>
          <w:b/>
          <w:bCs/>
          <w:sz w:val="21"/>
          <w:szCs w:val="21"/>
        </w:rPr>
        <w:t>Preferred:</w:t>
      </w:r>
    </w:p>
    <w:p w14:paraId="5B9CD503" w14:textId="068ADE85" w:rsidR="00F41716" w:rsidRPr="001745C8" w:rsidRDefault="00F41716" w:rsidP="00F41716">
      <w:pPr>
        <w:widowControl w:val="0"/>
        <w:numPr>
          <w:ilvl w:val="0"/>
          <w:numId w:val="2"/>
        </w:numPr>
        <w:spacing w:after="0" w:line="240" w:lineRule="auto"/>
        <w:rPr>
          <w:sz w:val="20"/>
          <w:szCs w:val="20"/>
        </w:rPr>
      </w:pPr>
      <w:r w:rsidRPr="001745C8">
        <w:rPr>
          <w:sz w:val="20"/>
          <w:szCs w:val="20"/>
        </w:rPr>
        <w:t>University teaching experience</w:t>
      </w:r>
    </w:p>
    <w:p w14:paraId="2AA4BA85" w14:textId="77777777" w:rsidR="00F41716" w:rsidRPr="001745C8" w:rsidRDefault="00F41716" w:rsidP="004B307B">
      <w:pPr>
        <w:widowControl w:val="0"/>
        <w:numPr>
          <w:ilvl w:val="0"/>
          <w:numId w:val="2"/>
        </w:numPr>
        <w:spacing w:after="0" w:line="240" w:lineRule="auto"/>
        <w:rPr>
          <w:sz w:val="20"/>
          <w:szCs w:val="20"/>
        </w:rPr>
      </w:pPr>
      <w:r w:rsidRPr="001745C8">
        <w:rPr>
          <w:sz w:val="20"/>
          <w:szCs w:val="20"/>
        </w:rPr>
        <w:t>Knowledge of standard requirements: Interstate Teacher Assessment and Support Consortium (InTASC), Louisiana Teacher Preparation Competencies, and Council for the Accreditation of Educator Preparation (CAEP) Standards.</w:t>
      </w:r>
      <w:r w:rsidR="001745C8">
        <w:rPr>
          <w:sz w:val="20"/>
          <w:szCs w:val="20"/>
        </w:rPr>
        <w:br/>
      </w:r>
    </w:p>
    <w:p w14:paraId="0C943F69" w14:textId="77777777" w:rsidR="00034F7A" w:rsidRPr="001745C8" w:rsidRDefault="00034F7A" w:rsidP="00034F7A">
      <w:pPr>
        <w:rPr>
          <w:sz w:val="20"/>
          <w:szCs w:val="20"/>
        </w:rPr>
      </w:pPr>
      <w:r w:rsidRPr="001745C8">
        <w:rPr>
          <w:sz w:val="20"/>
          <w:szCs w:val="20"/>
        </w:rPr>
        <w:t xml:space="preserve">To apply for this position, a CV, cover letter, and a list of contact information for at least three references should be sent electronically to: </w:t>
      </w:r>
    </w:p>
    <w:p w14:paraId="2E515060" w14:textId="77777777" w:rsidR="00034F7A" w:rsidRPr="001745C8" w:rsidRDefault="00034F7A" w:rsidP="00034F7A">
      <w:pPr>
        <w:jc w:val="center"/>
        <w:rPr>
          <w:sz w:val="20"/>
          <w:szCs w:val="20"/>
        </w:rPr>
      </w:pPr>
      <w:r w:rsidRPr="001745C8">
        <w:rPr>
          <w:sz w:val="20"/>
          <w:szCs w:val="20"/>
        </w:rPr>
        <w:t>Lisa Cooper, Chair Search Committee</w:t>
      </w:r>
      <w:r w:rsidRPr="001745C8">
        <w:rPr>
          <w:sz w:val="20"/>
          <w:szCs w:val="20"/>
        </w:rPr>
        <w:br/>
      </w:r>
      <w:r w:rsidR="001745C8" w:rsidRPr="001745C8">
        <w:rPr>
          <w:sz w:val="20"/>
          <w:szCs w:val="20"/>
        </w:rPr>
        <w:t>LSU Shreveport</w:t>
      </w:r>
      <w:r w:rsidR="001745C8">
        <w:rPr>
          <w:sz w:val="20"/>
          <w:szCs w:val="20"/>
        </w:rPr>
        <w:t xml:space="preserve">, </w:t>
      </w:r>
      <w:r w:rsidRPr="001745C8">
        <w:rPr>
          <w:sz w:val="20"/>
          <w:szCs w:val="20"/>
        </w:rPr>
        <w:t>Department of Education</w:t>
      </w:r>
      <w:r w:rsidRPr="001745C8">
        <w:rPr>
          <w:sz w:val="20"/>
          <w:szCs w:val="20"/>
        </w:rPr>
        <w:br/>
        <w:t>One University Place, BE 381</w:t>
      </w:r>
      <w:r w:rsidRPr="001745C8">
        <w:rPr>
          <w:sz w:val="20"/>
          <w:szCs w:val="20"/>
        </w:rPr>
        <w:br/>
        <w:t>Shreveport, LA 71115</w:t>
      </w:r>
      <w:r w:rsidRPr="001745C8">
        <w:rPr>
          <w:sz w:val="20"/>
          <w:szCs w:val="20"/>
        </w:rPr>
        <w:br/>
      </w:r>
      <w:hyperlink r:id="rId9" w:history="1">
        <w:r w:rsidRPr="001745C8">
          <w:rPr>
            <w:rStyle w:val="Hyperlink"/>
            <w:sz w:val="20"/>
            <w:szCs w:val="20"/>
          </w:rPr>
          <w:t>lisa.cooper@lsus.edu</w:t>
        </w:r>
      </w:hyperlink>
    </w:p>
    <w:p w14:paraId="00853351" w14:textId="77777777" w:rsidR="00034F7A" w:rsidRPr="001745C8" w:rsidRDefault="00034F7A" w:rsidP="00034F7A">
      <w:pPr>
        <w:rPr>
          <w:sz w:val="20"/>
          <w:szCs w:val="20"/>
        </w:rPr>
      </w:pPr>
      <w:r w:rsidRPr="001745C8">
        <w:rPr>
          <w:sz w:val="20"/>
          <w:szCs w:val="20"/>
        </w:rPr>
        <w:t>Questions may also be submitted to Lisa Cooper.  Review of complete applications will begin immediately and continue until the position is filled. LSUS is an Affirmative Action and Equal Opportunity employer.</w:t>
      </w:r>
    </w:p>
    <w:p w14:paraId="110E65FF" w14:textId="77777777" w:rsidR="00034F7A" w:rsidRPr="001745C8" w:rsidRDefault="00034F7A" w:rsidP="00034F7A">
      <w:pPr>
        <w:rPr>
          <w:sz w:val="20"/>
          <w:szCs w:val="20"/>
        </w:rPr>
      </w:pPr>
      <w:r w:rsidRPr="001745C8">
        <w:rPr>
          <w:b/>
          <w:bCs/>
          <w:sz w:val="20"/>
          <w:szCs w:val="20"/>
        </w:rPr>
        <w:t xml:space="preserve">About LSUS: </w:t>
      </w:r>
    </w:p>
    <w:p w14:paraId="706BAA9F" w14:textId="3B118AB7" w:rsidR="00034F7A" w:rsidRPr="001745C8" w:rsidRDefault="00034F7A" w:rsidP="00034F7A">
      <w:pPr>
        <w:rPr>
          <w:sz w:val="20"/>
          <w:szCs w:val="20"/>
        </w:rPr>
      </w:pPr>
      <w:r w:rsidRPr="001745C8">
        <w:rPr>
          <w:sz w:val="20"/>
          <w:szCs w:val="20"/>
        </w:rPr>
        <w:t xml:space="preserve">In addition to a collegial faculty, our University boasts a high percentage of faculty with terminal degrees. The LSUS Department of Education enrolls approximately </w:t>
      </w:r>
      <w:r w:rsidR="002A1A7D">
        <w:rPr>
          <w:sz w:val="20"/>
          <w:szCs w:val="20"/>
        </w:rPr>
        <w:t>175</w:t>
      </w:r>
      <w:r w:rsidRPr="001745C8">
        <w:rPr>
          <w:sz w:val="20"/>
          <w:szCs w:val="20"/>
        </w:rPr>
        <w:t xml:space="preserve"> undergraduate students pursuing majors in elementary and secondary education. Our graduate program serves more than </w:t>
      </w:r>
      <w:r w:rsidR="001745C8" w:rsidRPr="001745C8">
        <w:rPr>
          <w:sz w:val="20"/>
          <w:szCs w:val="20"/>
        </w:rPr>
        <w:t>600</w:t>
      </w:r>
      <w:r w:rsidRPr="001745C8">
        <w:rPr>
          <w:sz w:val="20"/>
          <w:szCs w:val="20"/>
        </w:rPr>
        <w:t xml:space="preserve"> students in our accelerated online </w:t>
      </w:r>
      <w:r w:rsidR="00980BF8">
        <w:rPr>
          <w:sz w:val="20"/>
          <w:szCs w:val="20"/>
        </w:rPr>
        <w:t>Master of Education in Curriculum and Instruction (MEDCI)</w:t>
      </w:r>
      <w:r w:rsidRPr="001745C8">
        <w:rPr>
          <w:sz w:val="20"/>
          <w:szCs w:val="20"/>
        </w:rPr>
        <w:t xml:space="preserve"> and </w:t>
      </w:r>
      <w:r w:rsidR="00B970E0">
        <w:rPr>
          <w:sz w:val="20"/>
          <w:szCs w:val="20"/>
        </w:rPr>
        <w:t>Master of Education in Educational Leadership (</w:t>
      </w:r>
      <w:r w:rsidRPr="001745C8">
        <w:rPr>
          <w:sz w:val="20"/>
          <w:szCs w:val="20"/>
        </w:rPr>
        <w:t>MEDL</w:t>
      </w:r>
      <w:r w:rsidR="00B970E0">
        <w:rPr>
          <w:sz w:val="20"/>
          <w:szCs w:val="20"/>
        </w:rPr>
        <w:t>)</w:t>
      </w:r>
      <w:r w:rsidRPr="001745C8">
        <w:rPr>
          <w:sz w:val="20"/>
          <w:szCs w:val="20"/>
        </w:rPr>
        <w:t xml:space="preserve"> programs.</w:t>
      </w:r>
    </w:p>
    <w:p w14:paraId="6D7D89F0" w14:textId="77777777" w:rsidR="00034F7A" w:rsidRPr="001745C8" w:rsidRDefault="00034F7A" w:rsidP="00034F7A">
      <w:pPr>
        <w:rPr>
          <w:sz w:val="20"/>
          <w:szCs w:val="20"/>
          <w:highlight w:val="yellow"/>
        </w:rPr>
      </w:pPr>
      <w:r w:rsidRPr="001745C8">
        <w:rPr>
          <w:b/>
          <w:bCs/>
          <w:sz w:val="20"/>
          <w:szCs w:val="20"/>
        </w:rPr>
        <w:t xml:space="preserve">About Shreveport: </w:t>
      </w:r>
    </w:p>
    <w:p w14:paraId="184E933D" w14:textId="0895F07B" w:rsidR="00034F7A" w:rsidRDefault="00034F7A">
      <w:r w:rsidRPr="001745C8">
        <w:rPr>
          <w:sz w:val="20"/>
          <w:szCs w:val="20"/>
        </w:rPr>
        <w:t>The Shreveport/Bossier City area offers an attractive quality of life, combining the conveniences of a big city with the warmth and hospitality of a smaller town. With a metropolitan area of more than 3</w:t>
      </w:r>
      <w:r w:rsidR="001745C8" w:rsidRPr="001745C8">
        <w:rPr>
          <w:sz w:val="20"/>
          <w:szCs w:val="20"/>
        </w:rPr>
        <w:t>58</w:t>
      </w:r>
      <w:r w:rsidRPr="001745C8">
        <w:rPr>
          <w:sz w:val="20"/>
          <w:szCs w:val="20"/>
        </w:rPr>
        <w:t xml:space="preserve">,000, the Shreveport-Bossier City area offers a low cost of living, affordable housing, and many diverse dining and entertainment options. Exceptional outdoor recreational opportunities abound. Frequently called "A Sportsman's Paradise" the area's mild climate, various lakes and rivers, and beautiful parks create the perfect setting for jogging, cycling, water and jet-skiing, hunting, and fishing. Entertainment venues include the </w:t>
      </w:r>
      <w:r w:rsidR="001745C8" w:rsidRPr="001745C8">
        <w:rPr>
          <w:sz w:val="20"/>
          <w:szCs w:val="20"/>
        </w:rPr>
        <w:t>Brookshire Grocery Arena</w:t>
      </w:r>
      <w:r w:rsidRPr="001745C8">
        <w:rPr>
          <w:sz w:val="20"/>
          <w:szCs w:val="20"/>
        </w:rPr>
        <w:t xml:space="preserve"> which hosts numerous musical events, comedians, rodeos, and children's events, among others. Shreveport also hosts dozens of festivals with regional food and music, and offers regular theatrical productions, ballet performances, as well as performances by the Shreveport Symphony. Shreveport is also home to the American Rose Center. </w:t>
      </w:r>
    </w:p>
    <w:sectPr w:rsidR="00034F7A" w:rsidSect="001745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D50"/>
    <w:multiLevelType w:val="multilevel"/>
    <w:tmpl w:val="7348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DC53E0"/>
    <w:multiLevelType w:val="multilevel"/>
    <w:tmpl w:val="143A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16"/>
    <w:rsid w:val="00034F7A"/>
    <w:rsid w:val="001745C8"/>
    <w:rsid w:val="002902A9"/>
    <w:rsid w:val="002A1A7D"/>
    <w:rsid w:val="003B6C5B"/>
    <w:rsid w:val="004F19D4"/>
    <w:rsid w:val="006D230A"/>
    <w:rsid w:val="007E6EB6"/>
    <w:rsid w:val="00980BF8"/>
    <w:rsid w:val="00AD36EF"/>
    <w:rsid w:val="00B970E0"/>
    <w:rsid w:val="00C06ECE"/>
    <w:rsid w:val="00C961A8"/>
    <w:rsid w:val="00D82AC2"/>
    <w:rsid w:val="00E34870"/>
    <w:rsid w:val="00F4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8110"/>
  <w15:chartTrackingRefBased/>
  <w15:docId w15:val="{9E817E44-1984-4AEE-98E2-B7B59278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17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4F7A"/>
    <w:rPr>
      <w:color w:val="0563C1" w:themeColor="hyperlink"/>
      <w:u w:val="single"/>
    </w:rPr>
  </w:style>
  <w:style w:type="character" w:styleId="UnresolvedMention">
    <w:name w:val="Unresolved Mention"/>
    <w:basedOn w:val="DefaultParagraphFont"/>
    <w:uiPriority w:val="99"/>
    <w:semiHidden/>
    <w:unhideWhenUsed/>
    <w:rsid w:val="00034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8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sa.cooper@ls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A76E3F4A5114A8EC77080220CEF15" ma:contentTypeVersion="15" ma:contentTypeDescription="Create a new document." ma:contentTypeScope="" ma:versionID="6c35523419d1453978b6231dd327c387">
  <xsd:schema xmlns:xsd="http://www.w3.org/2001/XMLSchema" xmlns:xs="http://www.w3.org/2001/XMLSchema" xmlns:p="http://schemas.microsoft.com/office/2006/metadata/properties" xmlns:ns3="e6c9132c-8bab-409b-b271-865190d3e806" xmlns:ns4="089f25f0-3f6d-4506-80fe-df0ff376aebd" targetNamespace="http://schemas.microsoft.com/office/2006/metadata/properties" ma:root="true" ma:fieldsID="45185208c8467a30cdde5a53db5752ea" ns3:_="" ns4:_="">
    <xsd:import namespace="e6c9132c-8bab-409b-b271-865190d3e806"/>
    <xsd:import namespace="089f25f0-3f6d-4506-80fe-df0ff376ae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9132c-8bab-409b-b271-865190d3e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f25f0-3f6d-4506-80fe-df0ff376ae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F3CFA-6614-4A98-A7CA-5852D3C44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9132c-8bab-409b-b271-865190d3e806"/>
    <ds:schemaRef ds:uri="089f25f0-3f6d-4506-80fe-df0ff376a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AEE4F-D22E-4A86-9364-3620BCD8DEB9}">
  <ds:schemaRefs>
    <ds:schemaRef ds:uri="http://schemas.microsoft.com/sharepoint/v3/contenttype/forms"/>
  </ds:schemaRefs>
</ds:datastoreItem>
</file>

<file path=customXml/itemProps3.xml><?xml version="1.0" encoding="utf-8"?>
<ds:datastoreItem xmlns:ds="http://schemas.openxmlformats.org/officeDocument/2006/customXml" ds:itemID="{C144B2A0-7D69-4D27-87B6-75CE959BCD7C}">
  <ds:schemaRefs>
    <ds:schemaRef ds:uri="http://schemas.microsoft.com/office/2006/documentManagement/types"/>
    <ds:schemaRef ds:uri="http://purl.org/dc/terms/"/>
    <ds:schemaRef ds:uri="http://purl.org/dc/elements/1.1/"/>
    <ds:schemaRef ds:uri="http://purl.org/dc/dcmitype/"/>
    <ds:schemaRef ds:uri="089f25f0-3f6d-4506-80fe-df0ff376aebd"/>
    <ds:schemaRef ds:uri="e6c9132c-8bab-409b-b271-865190d3e806"/>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3067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Lisa</dc:creator>
  <cp:keywords/>
  <dc:description/>
  <cp:lastModifiedBy>Isaac, Jennifer</cp:lastModifiedBy>
  <cp:revision>2</cp:revision>
  <dcterms:created xsi:type="dcterms:W3CDTF">2023-09-19T15:02:00Z</dcterms:created>
  <dcterms:modified xsi:type="dcterms:W3CDTF">2023-09-19T15:02:00Z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0x010100793A76E3F4A5114A8EC77080220CEF15</vt:lpwstr>
  </property>
</Properties>
</file>