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4EA5" w14:textId="30BBAC28" w:rsidR="00595663" w:rsidRPr="000B12B8" w:rsidRDefault="00907F74" w:rsidP="002A411C">
      <w:pPr>
        <w:jc w:val="center"/>
        <w:rPr>
          <w:rFonts w:ascii="Times New Roman" w:hAnsi="Times New Roman" w:cs="Times New Roman"/>
          <w:b/>
          <w:sz w:val="24"/>
          <w:szCs w:val="24"/>
        </w:rPr>
      </w:pPr>
      <w:r>
        <w:rPr>
          <w:rFonts w:ascii="Times New Roman" w:hAnsi="Times New Roman" w:cs="Times New Roman"/>
          <w:b/>
          <w:sz w:val="24"/>
          <w:szCs w:val="24"/>
        </w:rPr>
        <w:t>20</w:t>
      </w:r>
      <w:r w:rsidR="009E39BA">
        <w:rPr>
          <w:rFonts w:ascii="Times New Roman" w:hAnsi="Times New Roman" w:cs="Times New Roman"/>
          <w:b/>
          <w:sz w:val="24"/>
          <w:szCs w:val="24"/>
        </w:rPr>
        <w:t>2</w:t>
      </w:r>
      <w:r w:rsidR="0073253E">
        <w:rPr>
          <w:rFonts w:ascii="Times New Roman" w:hAnsi="Times New Roman" w:cs="Times New Roman"/>
          <w:b/>
          <w:sz w:val="24"/>
          <w:szCs w:val="24"/>
        </w:rPr>
        <w:t>1</w:t>
      </w:r>
      <w:r>
        <w:rPr>
          <w:rFonts w:ascii="Times New Roman" w:hAnsi="Times New Roman" w:cs="Times New Roman"/>
          <w:b/>
          <w:sz w:val="24"/>
          <w:szCs w:val="24"/>
        </w:rPr>
        <w:t>-20</w:t>
      </w:r>
      <w:r w:rsidR="005B31D5">
        <w:rPr>
          <w:rFonts w:ascii="Times New Roman" w:hAnsi="Times New Roman" w:cs="Times New Roman"/>
          <w:b/>
          <w:sz w:val="24"/>
          <w:szCs w:val="24"/>
        </w:rPr>
        <w:t>2</w:t>
      </w:r>
      <w:r w:rsidR="0073253E">
        <w:rPr>
          <w:rFonts w:ascii="Times New Roman" w:hAnsi="Times New Roman" w:cs="Times New Roman"/>
          <w:b/>
          <w:sz w:val="24"/>
          <w:szCs w:val="24"/>
        </w:rPr>
        <w:t>2</w:t>
      </w:r>
      <w:r>
        <w:rPr>
          <w:rFonts w:ascii="Times New Roman" w:hAnsi="Times New Roman" w:cs="Times New Roman"/>
          <w:b/>
          <w:sz w:val="24"/>
          <w:szCs w:val="24"/>
        </w:rPr>
        <w:t xml:space="preserve"> </w:t>
      </w:r>
      <w:r w:rsidR="009F6151" w:rsidRPr="000B12B8">
        <w:rPr>
          <w:rFonts w:ascii="Times New Roman" w:hAnsi="Times New Roman" w:cs="Times New Roman"/>
          <w:b/>
          <w:sz w:val="24"/>
          <w:szCs w:val="24"/>
        </w:rPr>
        <w:t xml:space="preserve">MSC Program </w:t>
      </w:r>
      <w:r w:rsidR="00560AAC" w:rsidRPr="000B12B8">
        <w:rPr>
          <w:rFonts w:ascii="Times New Roman" w:hAnsi="Times New Roman" w:cs="Times New Roman"/>
          <w:b/>
          <w:sz w:val="24"/>
          <w:szCs w:val="24"/>
        </w:rPr>
        <w:t>Annual Summative Report</w:t>
      </w:r>
    </w:p>
    <w:p w14:paraId="2CE71577" w14:textId="77777777" w:rsidR="00560AAC" w:rsidRDefault="00560AAC">
      <w:pPr>
        <w:rPr>
          <w:rFonts w:ascii="Times New Roman" w:hAnsi="Times New Roman" w:cs="Times New Roman"/>
          <w:sz w:val="24"/>
          <w:szCs w:val="24"/>
        </w:rPr>
      </w:pPr>
      <w:r>
        <w:rPr>
          <w:rFonts w:ascii="Times New Roman" w:hAnsi="Times New Roman" w:cs="Times New Roman"/>
          <w:sz w:val="24"/>
          <w:szCs w:val="24"/>
        </w:rPr>
        <w:t xml:space="preserve">The faculty of the MSC Program meet annually to (a) review, amend, and approve Program Objectives within the context of data gathered from the previous academic year, and (b) review and approve recommendations for programmatic changes to be instituted in the upcoming year.  </w:t>
      </w:r>
    </w:p>
    <w:p w14:paraId="382F4415" w14:textId="77777777" w:rsidR="00C03822" w:rsidRDefault="00560AAC">
      <w:pPr>
        <w:rPr>
          <w:rFonts w:ascii="Times New Roman" w:hAnsi="Times New Roman" w:cs="Times New Roman"/>
          <w:sz w:val="24"/>
          <w:szCs w:val="24"/>
        </w:rPr>
      </w:pPr>
      <w:r>
        <w:rPr>
          <w:rFonts w:ascii="Times New Roman" w:hAnsi="Times New Roman" w:cs="Times New Roman"/>
          <w:sz w:val="24"/>
          <w:szCs w:val="24"/>
        </w:rPr>
        <w:t xml:space="preserve">The MSC Program has applied for CACREP accreditation.  CACREP requires that within core and specialty areas, Key Performance Indicators (KPIs) are identified.  KPIs are capstone assignments which measure teaching and learning.  </w:t>
      </w:r>
    </w:p>
    <w:p w14:paraId="0853A8E8" w14:textId="77777777" w:rsidR="00907F74" w:rsidRDefault="00907F74">
      <w:pPr>
        <w:rPr>
          <w:rFonts w:ascii="Times New Roman" w:hAnsi="Times New Roman" w:cs="Times New Roman"/>
          <w:sz w:val="24"/>
          <w:szCs w:val="24"/>
        </w:rPr>
      </w:pPr>
    </w:p>
    <w:p w14:paraId="0C838681" w14:textId="77777777" w:rsidR="002A411C" w:rsidRPr="002A411C" w:rsidRDefault="000B12B8" w:rsidP="00C9171C">
      <w:pPr>
        <w:rPr>
          <w:rFonts w:ascii="Times New Roman" w:hAnsi="Times New Roman" w:cs="Times New Roman"/>
          <w:b/>
          <w:sz w:val="24"/>
          <w:szCs w:val="24"/>
        </w:rPr>
      </w:pPr>
      <w:r>
        <w:rPr>
          <w:rFonts w:ascii="Times New Roman" w:hAnsi="Times New Roman" w:cs="Times New Roman"/>
          <w:b/>
          <w:sz w:val="24"/>
          <w:szCs w:val="24"/>
        </w:rPr>
        <w:t>Academic Year</w:t>
      </w:r>
      <w:r w:rsidR="002A411C" w:rsidRPr="002A411C">
        <w:rPr>
          <w:rFonts w:ascii="Times New Roman" w:hAnsi="Times New Roman" w:cs="Times New Roman"/>
          <w:b/>
          <w:sz w:val="24"/>
          <w:szCs w:val="24"/>
        </w:rPr>
        <w:t xml:space="preserve"> Key Performance Indicator Mean Scores (Scaled 1-4)</w:t>
      </w:r>
    </w:p>
    <w:tbl>
      <w:tblPr>
        <w:tblStyle w:val="TableGrid"/>
        <w:tblW w:w="0" w:type="auto"/>
        <w:tblLook w:val="04A0" w:firstRow="1" w:lastRow="0" w:firstColumn="1" w:lastColumn="0" w:noHBand="0" w:noVBand="1"/>
      </w:tblPr>
      <w:tblGrid>
        <w:gridCol w:w="7285"/>
        <w:gridCol w:w="2065"/>
      </w:tblGrid>
      <w:tr w:rsidR="002A411C" w14:paraId="5E487CA3" w14:textId="77777777" w:rsidTr="00DC6AF7">
        <w:tc>
          <w:tcPr>
            <w:tcW w:w="7285" w:type="dxa"/>
          </w:tcPr>
          <w:p w14:paraId="2CCBBB83" w14:textId="77777777" w:rsidR="002A411C" w:rsidRDefault="002A411C" w:rsidP="00DC6AF7">
            <w:pPr>
              <w:rPr>
                <w:rFonts w:ascii="Times New Roman" w:hAnsi="Times New Roman" w:cs="Times New Roman"/>
                <w:sz w:val="24"/>
                <w:szCs w:val="24"/>
              </w:rPr>
            </w:pPr>
            <w:r>
              <w:rPr>
                <w:rFonts w:ascii="Times New Roman" w:hAnsi="Times New Roman" w:cs="Times New Roman"/>
                <w:sz w:val="24"/>
                <w:szCs w:val="24"/>
              </w:rPr>
              <w:t>KPI Course and Assignment</w:t>
            </w:r>
          </w:p>
        </w:tc>
        <w:tc>
          <w:tcPr>
            <w:tcW w:w="2065" w:type="dxa"/>
          </w:tcPr>
          <w:p w14:paraId="1EE5505B" w14:textId="77777777" w:rsidR="002A411C" w:rsidRDefault="002A411C" w:rsidP="00DC6AF7">
            <w:pPr>
              <w:rPr>
                <w:rFonts w:ascii="Times New Roman" w:hAnsi="Times New Roman" w:cs="Times New Roman"/>
                <w:sz w:val="24"/>
                <w:szCs w:val="24"/>
              </w:rPr>
            </w:pPr>
            <w:r>
              <w:rPr>
                <w:rFonts w:ascii="Times New Roman" w:hAnsi="Times New Roman" w:cs="Times New Roman"/>
                <w:sz w:val="24"/>
                <w:szCs w:val="24"/>
              </w:rPr>
              <w:t>Mean Score</w:t>
            </w:r>
          </w:p>
        </w:tc>
      </w:tr>
      <w:tr w:rsidR="002A411C" w14:paraId="4BA95166" w14:textId="77777777" w:rsidTr="00DC6AF7">
        <w:tc>
          <w:tcPr>
            <w:tcW w:w="7285" w:type="dxa"/>
          </w:tcPr>
          <w:p w14:paraId="1DE2614B" w14:textId="77777777" w:rsidR="002A411C" w:rsidRDefault="002A411C" w:rsidP="002A411C">
            <w:pPr>
              <w:jc w:val="center"/>
              <w:rPr>
                <w:rFonts w:ascii="Times New Roman" w:hAnsi="Times New Roman" w:cs="Times New Roman"/>
                <w:sz w:val="24"/>
                <w:szCs w:val="24"/>
              </w:rPr>
            </w:pPr>
            <w:r>
              <w:rPr>
                <w:rFonts w:ascii="Times New Roman" w:hAnsi="Times New Roman" w:cs="Times New Roman"/>
                <w:sz w:val="24"/>
                <w:szCs w:val="24"/>
              </w:rPr>
              <w:t>COUN</w:t>
            </w:r>
            <w:r w:rsidR="001D1517">
              <w:rPr>
                <w:rFonts w:ascii="Times New Roman" w:hAnsi="Times New Roman" w:cs="Times New Roman"/>
                <w:sz w:val="24"/>
                <w:szCs w:val="24"/>
              </w:rPr>
              <w:t xml:space="preserve"> 728  Ethics and Law in Counseling</w:t>
            </w:r>
          </w:p>
          <w:p w14:paraId="10BB3930" w14:textId="5AC83DDE" w:rsidR="002A411C" w:rsidRDefault="001D1517" w:rsidP="002A411C">
            <w:pPr>
              <w:jc w:val="center"/>
              <w:rPr>
                <w:rFonts w:ascii="Times New Roman" w:hAnsi="Times New Roman" w:cs="Times New Roman"/>
                <w:sz w:val="24"/>
                <w:szCs w:val="24"/>
              </w:rPr>
            </w:pPr>
            <w:r>
              <w:rPr>
                <w:rFonts w:ascii="Times New Roman" w:hAnsi="Times New Roman" w:cs="Times New Roman"/>
                <w:sz w:val="24"/>
                <w:szCs w:val="24"/>
              </w:rPr>
              <w:t xml:space="preserve">ACA Ethics </w:t>
            </w:r>
            <w:r w:rsidR="00051C99">
              <w:rPr>
                <w:rFonts w:ascii="Times New Roman" w:hAnsi="Times New Roman" w:cs="Times New Roman"/>
                <w:sz w:val="24"/>
                <w:szCs w:val="24"/>
              </w:rPr>
              <w:t>Paper</w:t>
            </w:r>
          </w:p>
        </w:tc>
        <w:tc>
          <w:tcPr>
            <w:tcW w:w="2065" w:type="dxa"/>
          </w:tcPr>
          <w:p w14:paraId="798DB017" w14:textId="3045E6E1" w:rsidR="002A411C" w:rsidRDefault="00384846" w:rsidP="00DC6AF7">
            <w:pPr>
              <w:rPr>
                <w:rFonts w:ascii="Times New Roman" w:hAnsi="Times New Roman" w:cs="Times New Roman"/>
                <w:sz w:val="24"/>
                <w:szCs w:val="24"/>
              </w:rPr>
            </w:pPr>
            <w:r>
              <w:rPr>
                <w:rFonts w:ascii="Times New Roman" w:hAnsi="Times New Roman" w:cs="Times New Roman"/>
                <w:sz w:val="24"/>
                <w:szCs w:val="24"/>
              </w:rPr>
              <w:t>3.82</w:t>
            </w:r>
          </w:p>
        </w:tc>
      </w:tr>
      <w:tr w:rsidR="002A411C" w14:paraId="265D476D" w14:textId="77777777" w:rsidTr="00DC6AF7">
        <w:tc>
          <w:tcPr>
            <w:tcW w:w="7285" w:type="dxa"/>
          </w:tcPr>
          <w:p w14:paraId="39A49763" w14:textId="77777777" w:rsidR="002A411C" w:rsidRDefault="002A411C" w:rsidP="002A411C">
            <w:pPr>
              <w:jc w:val="center"/>
              <w:rPr>
                <w:rFonts w:ascii="Times New Roman" w:hAnsi="Times New Roman" w:cs="Times New Roman"/>
                <w:sz w:val="24"/>
                <w:szCs w:val="24"/>
              </w:rPr>
            </w:pPr>
            <w:r>
              <w:rPr>
                <w:rFonts w:ascii="Times New Roman" w:hAnsi="Times New Roman" w:cs="Times New Roman"/>
                <w:sz w:val="24"/>
                <w:szCs w:val="24"/>
              </w:rPr>
              <w:t>COUN 732  Social &amp; Cultural Foundations in Counseling</w:t>
            </w:r>
          </w:p>
          <w:p w14:paraId="7A5088ED" w14:textId="77777777" w:rsidR="002A411C" w:rsidRDefault="002A411C" w:rsidP="002A411C">
            <w:pPr>
              <w:jc w:val="center"/>
              <w:rPr>
                <w:rFonts w:ascii="Times New Roman" w:hAnsi="Times New Roman" w:cs="Times New Roman"/>
                <w:sz w:val="24"/>
                <w:szCs w:val="24"/>
              </w:rPr>
            </w:pPr>
            <w:r>
              <w:rPr>
                <w:rFonts w:ascii="Times New Roman" w:hAnsi="Times New Roman" w:cs="Times New Roman"/>
                <w:sz w:val="24"/>
                <w:szCs w:val="24"/>
              </w:rPr>
              <w:t>Experiential Experience Paper</w:t>
            </w:r>
          </w:p>
        </w:tc>
        <w:tc>
          <w:tcPr>
            <w:tcW w:w="2065" w:type="dxa"/>
          </w:tcPr>
          <w:p w14:paraId="7EA1F5BD" w14:textId="005CFA5F" w:rsidR="002A411C" w:rsidRDefault="001D1517" w:rsidP="00DC6AF7">
            <w:pPr>
              <w:rPr>
                <w:rFonts w:ascii="Times New Roman" w:hAnsi="Times New Roman" w:cs="Times New Roman"/>
                <w:sz w:val="24"/>
                <w:szCs w:val="24"/>
              </w:rPr>
            </w:pPr>
            <w:r>
              <w:rPr>
                <w:rFonts w:ascii="Times New Roman" w:hAnsi="Times New Roman" w:cs="Times New Roman"/>
                <w:sz w:val="24"/>
                <w:szCs w:val="24"/>
              </w:rPr>
              <w:t>3.</w:t>
            </w:r>
            <w:r w:rsidR="00384846">
              <w:rPr>
                <w:rFonts w:ascii="Times New Roman" w:hAnsi="Times New Roman" w:cs="Times New Roman"/>
                <w:sz w:val="24"/>
                <w:szCs w:val="24"/>
              </w:rPr>
              <w:t>94</w:t>
            </w:r>
          </w:p>
        </w:tc>
      </w:tr>
      <w:tr w:rsidR="002A411C" w14:paraId="58645A12" w14:textId="77777777" w:rsidTr="00DC6AF7">
        <w:tc>
          <w:tcPr>
            <w:tcW w:w="7285" w:type="dxa"/>
          </w:tcPr>
          <w:p w14:paraId="6389EC80" w14:textId="77777777" w:rsidR="002A411C" w:rsidRDefault="002A411C" w:rsidP="002A411C">
            <w:pPr>
              <w:jc w:val="center"/>
              <w:rPr>
                <w:rFonts w:ascii="Times New Roman" w:hAnsi="Times New Roman" w:cs="Times New Roman"/>
                <w:sz w:val="24"/>
                <w:szCs w:val="24"/>
              </w:rPr>
            </w:pPr>
            <w:r>
              <w:rPr>
                <w:rFonts w:ascii="Times New Roman" w:hAnsi="Times New Roman" w:cs="Times New Roman"/>
                <w:sz w:val="24"/>
                <w:szCs w:val="24"/>
              </w:rPr>
              <w:t>PSYC 709  Advanced Human Development</w:t>
            </w:r>
          </w:p>
          <w:p w14:paraId="3D42C46A" w14:textId="49036A52" w:rsidR="002A411C" w:rsidRDefault="00BA176F" w:rsidP="002A411C">
            <w:pPr>
              <w:jc w:val="center"/>
              <w:rPr>
                <w:rFonts w:ascii="Times New Roman" w:hAnsi="Times New Roman" w:cs="Times New Roman"/>
                <w:sz w:val="24"/>
                <w:szCs w:val="24"/>
              </w:rPr>
            </w:pPr>
            <w:r>
              <w:rPr>
                <w:rFonts w:ascii="Times New Roman" w:hAnsi="Times New Roman" w:cs="Times New Roman"/>
                <w:sz w:val="24"/>
                <w:szCs w:val="24"/>
              </w:rPr>
              <w:t>Lifespan Portfolio Paper</w:t>
            </w:r>
          </w:p>
        </w:tc>
        <w:tc>
          <w:tcPr>
            <w:tcW w:w="2065" w:type="dxa"/>
          </w:tcPr>
          <w:p w14:paraId="4575EF26" w14:textId="1D27FE57" w:rsidR="002A411C" w:rsidRDefault="001D1517" w:rsidP="00DC6AF7">
            <w:pPr>
              <w:rPr>
                <w:rFonts w:ascii="Times New Roman" w:hAnsi="Times New Roman" w:cs="Times New Roman"/>
                <w:sz w:val="24"/>
                <w:szCs w:val="24"/>
              </w:rPr>
            </w:pPr>
            <w:r>
              <w:rPr>
                <w:rFonts w:ascii="Times New Roman" w:hAnsi="Times New Roman" w:cs="Times New Roman"/>
                <w:sz w:val="24"/>
                <w:szCs w:val="24"/>
              </w:rPr>
              <w:t>3.</w:t>
            </w:r>
            <w:r w:rsidR="00384846">
              <w:rPr>
                <w:rFonts w:ascii="Times New Roman" w:hAnsi="Times New Roman" w:cs="Times New Roman"/>
                <w:sz w:val="24"/>
                <w:szCs w:val="24"/>
              </w:rPr>
              <w:t>63</w:t>
            </w:r>
          </w:p>
        </w:tc>
      </w:tr>
      <w:tr w:rsidR="002A411C" w14:paraId="3726A4E6" w14:textId="77777777" w:rsidTr="00DC6AF7">
        <w:tc>
          <w:tcPr>
            <w:tcW w:w="7285" w:type="dxa"/>
          </w:tcPr>
          <w:p w14:paraId="1CE05981" w14:textId="77777777" w:rsidR="002A411C" w:rsidRDefault="002A411C" w:rsidP="002A411C">
            <w:pPr>
              <w:jc w:val="center"/>
              <w:rPr>
                <w:rFonts w:ascii="Times New Roman" w:hAnsi="Times New Roman" w:cs="Times New Roman"/>
                <w:sz w:val="24"/>
                <w:szCs w:val="24"/>
              </w:rPr>
            </w:pPr>
            <w:r>
              <w:rPr>
                <w:rFonts w:ascii="Times New Roman" w:hAnsi="Times New Roman" w:cs="Times New Roman"/>
                <w:sz w:val="24"/>
                <w:szCs w:val="24"/>
              </w:rPr>
              <w:t>COUN 733  Career &amp; Lifestyle Development in Counseling</w:t>
            </w:r>
          </w:p>
          <w:p w14:paraId="65D67218" w14:textId="77777777" w:rsidR="002A411C" w:rsidRDefault="002A411C" w:rsidP="002A411C">
            <w:pPr>
              <w:jc w:val="center"/>
              <w:rPr>
                <w:rFonts w:ascii="Times New Roman" w:hAnsi="Times New Roman" w:cs="Times New Roman"/>
                <w:sz w:val="24"/>
                <w:szCs w:val="24"/>
              </w:rPr>
            </w:pPr>
            <w:r>
              <w:rPr>
                <w:rFonts w:ascii="Times New Roman" w:hAnsi="Times New Roman" w:cs="Times New Roman"/>
                <w:sz w:val="24"/>
                <w:szCs w:val="24"/>
              </w:rPr>
              <w:t>Personal Career Development Paper</w:t>
            </w:r>
          </w:p>
        </w:tc>
        <w:tc>
          <w:tcPr>
            <w:tcW w:w="2065" w:type="dxa"/>
          </w:tcPr>
          <w:p w14:paraId="6EE3E074" w14:textId="1FB4F5D3" w:rsidR="002A411C" w:rsidRDefault="001D1517" w:rsidP="00DC6AF7">
            <w:pPr>
              <w:rPr>
                <w:rFonts w:ascii="Times New Roman" w:hAnsi="Times New Roman" w:cs="Times New Roman"/>
                <w:sz w:val="24"/>
                <w:szCs w:val="24"/>
              </w:rPr>
            </w:pPr>
            <w:r>
              <w:rPr>
                <w:rFonts w:ascii="Times New Roman" w:hAnsi="Times New Roman" w:cs="Times New Roman"/>
                <w:sz w:val="24"/>
                <w:szCs w:val="24"/>
              </w:rPr>
              <w:t>3.</w:t>
            </w:r>
            <w:r w:rsidR="00384846">
              <w:rPr>
                <w:rFonts w:ascii="Times New Roman" w:hAnsi="Times New Roman" w:cs="Times New Roman"/>
                <w:sz w:val="24"/>
                <w:szCs w:val="24"/>
              </w:rPr>
              <w:t>22</w:t>
            </w:r>
          </w:p>
        </w:tc>
      </w:tr>
      <w:tr w:rsidR="002A411C" w14:paraId="4FD860EE" w14:textId="77777777" w:rsidTr="00DC6AF7">
        <w:tc>
          <w:tcPr>
            <w:tcW w:w="7285" w:type="dxa"/>
          </w:tcPr>
          <w:p w14:paraId="6090CE9D" w14:textId="77777777" w:rsidR="002A411C" w:rsidRDefault="002A411C" w:rsidP="002A411C">
            <w:pPr>
              <w:jc w:val="center"/>
              <w:rPr>
                <w:rFonts w:ascii="Times New Roman" w:hAnsi="Times New Roman" w:cs="Times New Roman"/>
                <w:sz w:val="24"/>
                <w:szCs w:val="24"/>
              </w:rPr>
            </w:pPr>
            <w:r>
              <w:rPr>
                <w:rFonts w:ascii="Times New Roman" w:hAnsi="Times New Roman" w:cs="Times New Roman"/>
                <w:sz w:val="24"/>
                <w:szCs w:val="24"/>
              </w:rPr>
              <w:t>COUN 723  Counseling Method Techniques</w:t>
            </w:r>
          </w:p>
          <w:p w14:paraId="2E534CAE" w14:textId="77777777" w:rsidR="002A411C" w:rsidRDefault="002A411C" w:rsidP="002A411C">
            <w:pPr>
              <w:jc w:val="center"/>
              <w:rPr>
                <w:rFonts w:ascii="Times New Roman" w:hAnsi="Times New Roman" w:cs="Times New Roman"/>
                <w:sz w:val="24"/>
                <w:szCs w:val="24"/>
              </w:rPr>
            </w:pPr>
            <w:r>
              <w:rPr>
                <w:rFonts w:ascii="Times New Roman" w:hAnsi="Times New Roman" w:cs="Times New Roman"/>
                <w:sz w:val="24"/>
                <w:szCs w:val="24"/>
              </w:rPr>
              <w:t>Professional Counseling Session Videotapes</w:t>
            </w:r>
          </w:p>
        </w:tc>
        <w:tc>
          <w:tcPr>
            <w:tcW w:w="2065" w:type="dxa"/>
          </w:tcPr>
          <w:p w14:paraId="4CB17B6A" w14:textId="2240A796" w:rsidR="002A411C" w:rsidRDefault="00384846" w:rsidP="00DC6AF7">
            <w:pPr>
              <w:rPr>
                <w:rFonts w:ascii="Times New Roman" w:hAnsi="Times New Roman" w:cs="Times New Roman"/>
                <w:sz w:val="24"/>
                <w:szCs w:val="24"/>
              </w:rPr>
            </w:pPr>
            <w:r>
              <w:rPr>
                <w:rFonts w:ascii="Times New Roman" w:hAnsi="Times New Roman" w:cs="Times New Roman"/>
                <w:sz w:val="24"/>
                <w:szCs w:val="24"/>
              </w:rPr>
              <w:t>3.69</w:t>
            </w:r>
          </w:p>
        </w:tc>
      </w:tr>
      <w:tr w:rsidR="002A411C" w14:paraId="397FD111" w14:textId="77777777" w:rsidTr="00DC6AF7">
        <w:tc>
          <w:tcPr>
            <w:tcW w:w="7285" w:type="dxa"/>
          </w:tcPr>
          <w:p w14:paraId="3B0B78FB" w14:textId="77777777" w:rsidR="002A411C" w:rsidRDefault="002A411C" w:rsidP="002A411C">
            <w:pPr>
              <w:jc w:val="center"/>
              <w:rPr>
                <w:rFonts w:ascii="Times New Roman" w:hAnsi="Times New Roman" w:cs="Times New Roman"/>
                <w:sz w:val="24"/>
                <w:szCs w:val="24"/>
              </w:rPr>
            </w:pPr>
            <w:r>
              <w:rPr>
                <w:rFonts w:ascii="Times New Roman" w:hAnsi="Times New Roman" w:cs="Times New Roman"/>
                <w:sz w:val="24"/>
                <w:szCs w:val="24"/>
              </w:rPr>
              <w:t>COUN 722  Group Processes</w:t>
            </w:r>
          </w:p>
          <w:p w14:paraId="422D0BF3" w14:textId="4425420A" w:rsidR="002A411C" w:rsidRDefault="002A411C" w:rsidP="002A411C">
            <w:pPr>
              <w:jc w:val="center"/>
              <w:rPr>
                <w:rFonts w:ascii="Times New Roman" w:hAnsi="Times New Roman" w:cs="Times New Roman"/>
                <w:sz w:val="24"/>
                <w:szCs w:val="24"/>
              </w:rPr>
            </w:pPr>
            <w:r>
              <w:rPr>
                <w:rFonts w:ascii="Times New Roman" w:hAnsi="Times New Roman" w:cs="Times New Roman"/>
                <w:sz w:val="24"/>
                <w:szCs w:val="24"/>
              </w:rPr>
              <w:t xml:space="preserve">Group </w:t>
            </w:r>
            <w:r w:rsidR="00051C99">
              <w:rPr>
                <w:rFonts w:ascii="Times New Roman" w:hAnsi="Times New Roman" w:cs="Times New Roman"/>
                <w:sz w:val="24"/>
                <w:szCs w:val="24"/>
              </w:rPr>
              <w:t>Leader Facilitation</w:t>
            </w:r>
          </w:p>
        </w:tc>
        <w:tc>
          <w:tcPr>
            <w:tcW w:w="2065" w:type="dxa"/>
          </w:tcPr>
          <w:p w14:paraId="55305027" w14:textId="46D23FFA" w:rsidR="002A411C" w:rsidRDefault="00384846" w:rsidP="00DC6AF7">
            <w:pPr>
              <w:rPr>
                <w:rFonts w:ascii="Times New Roman" w:hAnsi="Times New Roman" w:cs="Times New Roman"/>
                <w:sz w:val="24"/>
                <w:szCs w:val="24"/>
              </w:rPr>
            </w:pPr>
            <w:r>
              <w:rPr>
                <w:rFonts w:ascii="Times New Roman" w:hAnsi="Times New Roman" w:cs="Times New Roman"/>
                <w:sz w:val="24"/>
                <w:szCs w:val="24"/>
              </w:rPr>
              <w:t>3.88</w:t>
            </w:r>
          </w:p>
        </w:tc>
      </w:tr>
      <w:tr w:rsidR="002A411C" w14:paraId="1E3F593E" w14:textId="77777777" w:rsidTr="00DC6AF7">
        <w:tc>
          <w:tcPr>
            <w:tcW w:w="7285" w:type="dxa"/>
          </w:tcPr>
          <w:p w14:paraId="77845E67" w14:textId="77777777" w:rsidR="002A411C" w:rsidRDefault="002A411C" w:rsidP="002A411C">
            <w:pPr>
              <w:jc w:val="center"/>
              <w:rPr>
                <w:rFonts w:ascii="Times New Roman" w:hAnsi="Times New Roman" w:cs="Times New Roman"/>
                <w:sz w:val="24"/>
                <w:szCs w:val="24"/>
              </w:rPr>
            </w:pPr>
            <w:r>
              <w:rPr>
                <w:rFonts w:ascii="Times New Roman" w:hAnsi="Times New Roman" w:cs="Times New Roman"/>
                <w:sz w:val="24"/>
                <w:szCs w:val="24"/>
              </w:rPr>
              <w:t>PSYC 716  Intermediate Statistics</w:t>
            </w:r>
          </w:p>
          <w:p w14:paraId="2C267E78" w14:textId="77777777" w:rsidR="002A411C" w:rsidRDefault="002A411C" w:rsidP="002A411C">
            <w:pPr>
              <w:jc w:val="center"/>
              <w:rPr>
                <w:rFonts w:ascii="Times New Roman" w:hAnsi="Times New Roman" w:cs="Times New Roman"/>
                <w:sz w:val="24"/>
                <w:szCs w:val="24"/>
              </w:rPr>
            </w:pPr>
            <w:r>
              <w:rPr>
                <w:rFonts w:ascii="Times New Roman" w:hAnsi="Times New Roman" w:cs="Times New Roman"/>
                <w:sz w:val="24"/>
                <w:szCs w:val="24"/>
              </w:rPr>
              <w:t>Data Analysis Report</w:t>
            </w:r>
          </w:p>
        </w:tc>
        <w:tc>
          <w:tcPr>
            <w:tcW w:w="2065" w:type="dxa"/>
          </w:tcPr>
          <w:p w14:paraId="5BCE8E8B" w14:textId="6ACF55E2" w:rsidR="002A411C" w:rsidRDefault="001D1517" w:rsidP="00DC6AF7">
            <w:pPr>
              <w:rPr>
                <w:rFonts w:ascii="Times New Roman" w:hAnsi="Times New Roman" w:cs="Times New Roman"/>
                <w:sz w:val="24"/>
                <w:szCs w:val="24"/>
              </w:rPr>
            </w:pPr>
            <w:r>
              <w:rPr>
                <w:rFonts w:ascii="Times New Roman" w:hAnsi="Times New Roman" w:cs="Times New Roman"/>
                <w:sz w:val="24"/>
                <w:szCs w:val="24"/>
              </w:rPr>
              <w:t>3.</w:t>
            </w:r>
            <w:r w:rsidR="00384846">
              <w:rPr>
                <w:rFonts w:ascii="Times New Roman" w:hAnsi="Times New Roman" w:cs="Times New Roman"/>
                <w:sz w:val="24"/>
                <w:szCs w:val="24"/>
              </w:rPr>
              <w:t>33</w:t>
            </w:r>
          </w:p>
        </w:tc>
      </w:tr>
      <w:tr w:rsidR="002A411C" w14:paraId="45846ADC" w14:textId="77777777" w:rsidTr="00DC6AF7">
        <w:tc>
          <w:tcPr>
            <w:tcW w:w="7285" w:type="dxa"/>
          </w:tcPr>
          <w:p w14:paraId="7F4F64D4" w14:textId="77777777" w:rsidR="002A411C" w:rsidRDefault="002A411C" w:rsidP="002A411C">
            <w:pPr>
              <w:jc w:val="center"/>
              <w:rPr>
                <w:rFonts w:ascii="Times New Roman" w:hAnsi="Times New Roman" w:cs="Times New Roman"/>
                <w:sz w:val="24"/>
                <w:szCs w:val="24"/>
              </w:rPr>
            </w:pPr>
            <w:r>
              <w:rPr>
                <w:rFonts w:ascii="Times New Roman" w:hAnsi="Times New Roman" w:cs="Times New Roman"/>
                <w:sz w:val="24"/>
                <w:szCs w:val="24"/>
              </w:rPr>
              <w:t>PSYC 718  Introduction to Methodology &amp; Research Design</w:t>
            </w:r>
          </w:p>
          <w:p w14:paraId="23DC19E5" w14:textId="77777777" w:rsidR="002A411C" w:rsidRDefault="002A411C" w:rsidP="002A411C">
            <w:pPr>
              <w:jc w:val="center"/>
              <w:rPr>
                <w:rFonts w:ascii="Times New Roman" w:hAnsi="Times New Roman" w:cs="Times New Roman"/>
                <w:sz w:val="24"/>
                <w:szCs w:val="24"/>
              </w:rPr>
            </w:pPr>
            <w:r>
              <w:rPr>
                <w:rFonts w:ascii="Times New Roman" w:hAnsi="Times New Roman" w:cs="Times New Roman"/>
                <w:sz w:val="24"/>
                <w:szCs w:val="24"/>
              </w:rPr>
              <w:t>Research Proposal</w:t>
            </w:r>
          </w:p>
        </w:tc>
        <w:tc>
          <w:tcPr>
            <w:tcW w:w="2065" w:type="dxa"/>
          </w:tcPr>
          <w:p w14:paraId="4DDA29DA" w14:textId="292BABC5" w:rsidR="002A411C" w:rsidRDefault="00384846" w:rsidP="00DC6AF7">
            <w:pPr>
              <w:rPr>
                <w:rFonts w:ascii="Times New Roman" w:hAnsi="Times New Roman" w:cs="Times New Roman"/>
                <w:sz w:val="24"/>
                <w:szCs w:val="24"/>
              </w:rPr>
            </w:pPr>
            <w:r>
              <w:rPr>
                <w:rFonts w:ascii="Times New Roman" w:hAnsi="Times New Roman" w:cs="Times New Roman"/>
                <w:sz w:val="24"/>
                <w:szCs w:val="24"/>
              </w:rPr>
              <w:t>3.16</w:t>
            </w:r>
          </w:p>
        </w:tc>
      </w:tr>
      <w:tr w:rsidR="002A411C" w14:paraId="0EA1C01C" w14:textId="77777777" w:rsidTr="00DC6AF7">
        <w:tc>
          <w:tcPr>
            <w:tcW w:w="7285" w:type="dxa"/>
          </w:tcPr>
          <w:p w14:paraId="04044B86" w14:textId="77777777" w:rsidR="002A411C" w:rsidRDefault="002A411C" w:rsidP="002A411C">
            <w:pPr>
              <w:jc w:val="center"/>
              <w:rPr>
                <w:rFonts w:ascii="Times New Roman" w:hAnsi="Times New Roman" w:cs="Times New Roman"/>
                <w:sz w:val="24"/>
                <w:szCs w:val="24"/>
              </w:rPr>
            </w:pPr>
            <w:r>
              <w:rPr>
                <w:rFonts w:ascii="Times New Roman" w:hAnsi="Times New Roman" w:cs="Times New Roman"/>
                <w:sz w:val="24"/>
                <w:szCs w:val="24"/>
              </w:rPr>
              <w:t>PSYC 724  Marriage &amp; Family Therapy</w:t>
            </w:r>
          </w:p>
          <w:p w14:paraId="33D1FFBD" w14:textId="77777777" w:rsidR="002A411C" w:rsidRDefault="002A411C" w:rsidP="002A411C">
            <w:pPr>
              <w:jc w:val="center"/>
              <w:rPr>
                <w:rFonts w:ascii="Times New Roman" w:hAnsi="Times New Roman" w:cs="Times New Roman"/>
                <w:sz w:val="24"/>
                <w:szCs w:val="24"/>
              </w:rPr>
            </w:pPr>
            <w:r>
              <w:rPr>
                <w:rFonts w:ascii="Times New Roman" w:hAnsi="Times New Roman" w:cs="Times New Roman"/>
                <w:sz w:val="24"/>
                <w:szCs w:val="24"/>
              </w:rPr>
              <w:t>Analysis of Videotaped Couple/Family Counseling Sessions</w:t>
            </w:r>
          </w:p>
        </w:tc>
        <w:tc>
          <w:tcPr>
            <w:tcW w:w="2065" w:type="dxa"/>
          </w:tcPr>
          <w:p w14:paraId="1A4CC802" w14:textId="509EDA39" w:rsidR="002A411C" w:rsidRDefault="00384846" w:rsidP="00DC6AF7">
            <w:pPr>
              <w:rPr>
                <w:rFonts w:ascii="Times New Roman" w:hAnsi="Times New Roman" w:cs="Times New Roman"/>
                <w:sz w:val="24"/>
                <w:szCs w:val="24"/>
              </w:rPr>
            </w:pPr>
            <w:r>
              <w:rPr>
                <w:rFonts w:ascii="Times New Roman" w:hAnsi="Times New Roman" w:cs="Times New Roman"/>
                <w:sz w:val="24"/>
                <w:szCs w:val="24"/>
              </w:rPr>
              <w:t>3.80</w:t>
            </w:r>
          </w:p>
        </w:tc>
      </w:tr>
      <w:tr w:rsidR="002A411C" w14:paraId="5FE7EBDC" w14:textId="77777777" w:rsidTr="00DC6AF7">
        <w:tc>
          <w:tcPr>
            <w:tcW w:w="7285" w:type="dxa"/>
          </w:tcPr>
          <w:p w14:paraId="6E539B4E" w14:textId="77777777" w:rsidR="002A411C" w:rsidRDefault="002A411C" w:rsidP="002A411C">
            <w:pPr>
              <w:jc w:val="center"/>
              <w:rPr>
                <w:rFonts w:ascii="Times New Roman" w:hAnsi="Times New Roman" w:cs="Times New Roman"/>
                <w:sz w:val="24"/>
                <w:szCs w:val="24"/>
              </w:rPr>
            </w:pPr>
            <w:r>
              <w:rPr>
                <w:rFonts w:ascii="Times New Roman" w:hAnsi="Times New Roman" w:cs="Times New Roman"/>
                <w:sz w:val="24"/>
                <w:szCs w:val="24"/>
              </w:rPr>
              <w:t>COUN 780  Consultation in Human Development</w:t>
            </w:r>
          </w:p>
          <w:p w14:paraId="1879F4D4" w14:textId="77777777" w:rsidR="002A411C" w:rsidRDefault="002A411C" w:rsidP="002A411C">
            <w:pPr>
              <w:jc w:val="center"/>
              <w:rPr>
                <w:rFonts w:ascii="Times New Roman" w:hAnsi="Times New Roman" w:cs="Times New Roman"/>
                <w:sz w:val="24"/>
                <w:szCs w:val="24"/>
              </w:rPr>
            </w:pPr>
            <w:r>
              <w:rPr>
                <w:rFonts w:ascii="Times New Roman" w:hAnsi="Times New Roman" w:cs="Times New Roman"/>
                <w:sz w:val="24"/>
                <w:szCs w:val="24"/>
              </w:rPr>
              <w:t>Program Evaluation Review</w:t>
            </w:r>
          </w:p>
        </w:tc>
        <w:tc>
          <w:tcPr>
            <w:tcW w:w="2065" w:type="dxa"/>
          </w:tcPr>
          <w:p w14:paraId="19B2154D" w14:textId="79269F03" w:rsidR="002A411C" w:rsidRDefault="00FF5ADA" w:rsidP="00DC6AF7">
            <w:pPr>
              <w:rPr>
                <w:rFonts w:ascii="Times New Roman" w:hAnsi="Times New Roman" w:cs="Times New Roman"/>
                <w:sz w:val="24"/>
                <w:szCs w:val="24"/>
              </w:rPr>
            </w:pPr>
            <w:r>
              <w:rPr>
                <w:rFonts w:ascii="Times New Roman" w:hAnsi="Times New Roman" w:cs="Times New Roman"/>
                <w:sz w:val="24"/>
                <w:szCs w:val="24"/>
              </w:rPr>
              <w:t>4.0</w:t>
            </w:r>
            <w:r w:rsidR="00384846">
              <w:rPr>
                <w:rFonts w:ascii="Times New Roman" w:hAnsi="Times New Roman" w:cs="Times New Roman"/>
                <w:sz w:val="24"/>
                <w:szCs w:val="24"/>
              </w:rPr>
              <w:t>0</w:t>
            </w:r>
          </w:p>
        </w:tc>
      </w:tr>
      <w:tr w:rsidR="002A411C" w14:paraId="2977C6A3" w14:textId="77777777" w:rsidTr="00DC6AF7">
        <w:tc>
          <w:tcPr>
            <w:tcW w:w="7285" w:type="dxa"/>
          </w:tcPr>
          <w:p w14:paraId="5F503C4C" w14:textId="77777777" w:rsidR="002A411C" w:rsidRDefault="002A411C" w:rsidP="002A411C">
            <w:pPr>
              <w:jc w:val="center"/>
              <w:rPr>
                <w:rFonts w:ascii="Times New Roman" w:hAnsi="Times New Roman" w:cs="Times New Roman"/>
                <w:sz w:val="24"/>
                <w:szCs w:val="24"/>
              </w:rPr>
            </w:pPr>
            <w:r>
              <w:rPr>
                <w:rFonts w:ascii="Times New Roman" w:hAnsi="Times New Roman" w:cs="Times New Roman"/>
                <w:sz w:val="24"/>
                <w:szCs w:val="24"/>
              </w:rPr>
              <w:t>COUN 783  Practicum</w:t>
            </w:r>
          </w:p>
          <w:p w14:paraId="24262699" w14:textId="77777777" w:rsidR="002A411C" w:rsidRDefault="002A411C" w:rsidP="002A411C">
            <w:pPr>
              <w:jc w:val="center"/>
              <w:rPr>
                <w:rFonts w:ascii="Times New Roman" w:hAnsi="Times New Roman" w:cs="Times New Roman"/>
                <w:sz w:val="24"/>
                <w:szCs w:val="24"/>
              </w:rPr>
            </w:pPr>
            <w:r>
              <w:rPr>
                <w:rFonts w:ascii="Times New Roman" w:hAnsi="Times New Roman" w:cs="Times New Roman"/>
                <w:sz w:val="24"/>
                <w:szCs w:val="24"/>
              </w:rPr>
              <w:t>Final Site Supervisor Evaluation</w:t>
            </w:r>
          </w:p>
        </w:tc>
        <w:tc>
          <w:tcPr>
            <w:tcW w:w="2065" w:type="dxa"/>
          </w:tcPr>
          <w:p w14:paraId="66A38024" w14:textId="73A1D31D" w:rsidR="002A411C" w:rsidRDefault="00FF5ADA" w:rsidP="00DC6AF7">
            <w:pPr>
              <w:rPr>
                <w:rFonts w:ascii="Times New Roman" w:hAnsi="Times New Roman" w:cs="Times New Roman"/>
                <w:sz w:val="24"/>
                <w:szCs w:val="24"/>
              </w:rPr>
            </w:pPr>
            <w:r>
              <w:rPr>
                <w:rFonts w:ascii="Times New Roman" w:hAnsi="Times New Roman" w:cs="Times New Roman"/>
                <w:sz w:val="24"/>
                <w:szCs w:val="24"/>
              </w:rPr>
              <w:t>3.</w:t>
            </w:r>
            <w:r w:rsidR="00384846">
              <w:rPr>
                <w:rFonts w:ascii="Times New Roman" w:hAnsi="Times New Roman" w:cs="Times New Roman"/>
                <w:sz w:val="24"/>
                <w:szCs w:val="24"/>
              </w:rPr>
              <w:t>73</w:t>
            </w:r>
          </w:p>
        </w:tc>
      </w:tr>
      <w:tr w:rsidR="002A411C" w14:paraId="2E7E6090" w14:textId="77777777" w:rsidTr="00DC6AF7">
        <w:tc>
          <w:tcPr>
            <w:tcW w:w="7285" w:type="dxa"/>
          </w:tcPr>
          <w:p w14:paraId="730C21B8" w14:textId="77777777" w:rsidR="002A411C" w:rsidRDefault="002A411C" w:rsidP="002A411C">
            <w:pPr>
              <w:jc w:val="center"/>
              <w:rPr>
                <w:rFonts w:ascii="Times New Roman" w:hAnsi="Times New Roman" w:cs="Times New Roman"/>
                <w:sz w:val="24"/>
                <w:szCs w:val="24"/>
              </w:rPr>
            </w:pPr>
            <w:r>
              <w:rPr>
                <w:rFonts w:ascii="Times New Roman" w:hAnsi="Times New Roman" w:cs="Times New Roman"/>
                <w:sz w:val="24"/>
                <w:szCs w:val="24"/>
              </w:rPr>
              <w:t>COUN 787  Internship</w:t>
            </w:r>
          </w:p>
          <w:p w14:paraId="33768D20" w14:textId="77777777" w:rsidR="002A411C" w:rsidRDefault="002A411C" w:rsidP="002A411C">
            <w:pPr>
              <w:jc w:val="center"/>
              <w:rPr>
                <w:rFonts w:ascii="Times New Roman" w:hAnsi="Times New Roman" w:cs="Times New Roman"/>
                <w:sz w:val="24"/>
                <w:szCs w:val="24"/>
              </w:rPr>
            </w:pPr>
            <w:r>
              <w:rPr>
                <w:rFonts w:ascii="Times New Roman" w:hAnsi="Times New Roman" w:cs="Times New Roman"/>
                <w:sz w:val="24"/>
                <w:szCs w:val="24"/>
              </w:rPr>
              <w:t>Final Site Supervisor Evaluation</w:t>
            </w:r>
          </w:p>
        </w:tc>
        <w:tc>
          <w:tcPr>
            <w:tcW w:w="2065" w:type="dxa"/>
          </w:tcPr>
          <w:p w14:paraId="6610D313" w14:textId="4231CA8C" w:rsidR="002A411C" w:rsidRDefault="00384846" w:rsidP="00DC6AF7">
            <w:pPr>
              <w:rPr>
                <w:rFonts w:ascii="Times New Roman" w:hAnsi="Times New Roman" w:cs="Times New Roman"/>
                <w:sz w:val="24"/>
                <w:szCs w:val="24"/>
              </w:rPr>
            </w:pPr>
            <w:r>
              <w:rPr>
                <w:rFonts w:ascii="Times New Roman" w:hAnsi="Times New Roman" w:cs="Times New Roman"/>
                <w:sz w:val="24"/>
                <w:szCs w:val="24"/>
              </w:rPr>
              <w:t>4.00</w:t>
            </w:r>
          </w:p>
        </w:tc>
      </w:tr>
    </w:tbl>
    <w:p w14:paraId="007BEEC4" w14:textId="77777777" w:rsidR="00907F74" w:rsidRDefault="00907F74" w:rsidP="00F13653">
      <w:pPr>
        <w:rPr>
          <w:rFonts w:ascii="Times New Roman" w:hAnsi="Times New Roman" w:cs="Times New Roman"/>
          <w:sz w:val="24"/>
          <w:szCs w:val="24"/>
        </w:rPr>
      </w:pPr>
    </w:p>
    <w:p w14:paraId="70BDCD1A" w14:textId="6755133F" w:rsidR="003E1AEA" w:rsidRPr="00725DCA" w:rsidRDefault="00F13653" w:rsidP="00725DCA">
      <w:pPr>
        <w:rPr>
          <w:rFonts w:ascii="Times New Roman" w:hAnsi="Times New Roman" w:cs="Times New Roman"/>
          <w:sz w:val="24"/>
          <w:szCs w:val="24"/>
        </w:rPr>
      </w:pPr>
      <w:r>
        <w:rPr>
          <w:rFonts w:ascii="Times New Roman" w:hAnsi="Times New Roman" w:cs="Times New Roman"/>
          <w:sz w:val="24"/>
          <w:szCs w:val="24"/>
        </w:rPr>
        <w:t>As a result of this data, the MSC faculty decided to implement the following changes:</w:t>
      </w:r>
    </w:p>
    <w:p w14:paraId="433B0467" w14:textId="77777777" w:rsidR="008842D3" w:rsidRDefault="008842D3" w:rsidP="008842D3">
      <w:pPr>
        <w:pStyle w:val="ListParagraph"/>
        <w:rPr>
          <w:rFonts w:ascii="Times New Roman" w:hAnsi="Times New Roman" w:cs="Times New Roman"/>
          <w:sz w:val="24"/>
          <w:szCs w:val="24"/>
        </w:rPr>
      </w:pPr>
    </w:p>
    <w:p w14:paraId="26569BFC" w14:textId="6D7275B6" w:rsidR="00FF5ADA" w:rsidRDefault="00A64962" w:rsidP="00FF5AD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MSC students in the COUN 780 Consultation in Human Development Class participate in a Mental Health First Aid Training Program and earn certification.</w:t>
      </w:r>
    </w:p>
    <w:p w14:paraId="2C461836" w14:textId="77777777" w:rsidR="00FF5ADA" w:rsidRPr="00FF5ADA" w:rsidRDefault="00FF5ADA" w:rsidP="00FF5ADA">
      <w:pPr>
        <w:pStyle w:val="ListParagraph"/>
        <w:rPr>
          <w:rFonts w:ascii="Times New Roman" w:hAnsi="Times New Roman" w:cs="Times New Roman"/>
          <w:sz w:val="24"/>
          <w:szCs w:val="24"/>
        </w:rPr>
      </w:pPr>
    </w:p>
    <w:p w14:paraId="550F48BF" w14:textId="014BABC2" w:rsidR="005127A3" w:rsidRDefault="00966DC0" w:rsidP="002C55D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MSC students</w:t>
      </w:r>
      <w:r w:rsidR="00A64962">
        <w:rPr>
          <w:rFonts w:ascii="Times New Roman" w:hAnsi="Times New Roman" w:cs="Times New Roman"/>
          <w:sz w:val="24"/>
          <w:szCs w:val="24"/>
        </w:rPr>
        <w:t xml:space="preserve"> in the COUN 733 Career &amp; Lifestyle Development in Counseling Class obtain e</w:t>
      </w:r>
      <w:r w:rsidR="008A1FEA">
        <w:rPr>
          <w:rFonts w:ascii="Times New Roman" w:hAnsi="Times New Roman" w:cs="Times New Roman"/>
          <w:sz w:val="24"/>
          <w:szCs w:val="24"/>
        </w:rPr>
        <w:t>xperiential experiences with two online career assessment platforms, Kuder Journey and the COPSystem.</w:t>
      </w:r>
      <w:r w:rsidR="009C0390">
        <w:rPr>
          <w:rFonts w:ascii="Times New Roman" w:hAnsi="Times New Roman" w:cs="Times New Roman"/>
          <w:sz w:val="24"/>
          <w:szCs w:val="24"/>
        </w:rPr>
        <w:t xml:space="preserve">  Students in the COUN 733 Course participate in training provided by Dr. Lisa Lee with Educational &amp; Industrial Testing Service (EDITS).</w:t>
      </w:r>
    </w:p>
    <w:p w14:paraId="78C0A5A1" w14:textId="77777777" w:rsidR="00FC70FD" w:rsidRDefault="00FC70FD" w:rsidP="00FC70FD">
      <w:pPr>
        <w:pStyle w:val="ListParagraph"/>
        <w:rPr>
          <w:rFonts w:ascii="Times New Roman" w:hAnsi="Times New Roman" w:cs="Times New Roman"/>
          <w:sz w:val="24"/>
          <w:szCs w:val="24"/>
        </w:rPr>
      </w:pPr>
    </w:p>
    <w:p w14:paraId="289F3018" w14:textId="0722D094" w:rsidR="00FC70FD" w:rsidRPr="00FC70FD" w:rsidRDefault="009C0390" w:rsidP="00FC70F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MSC students in the COUN 787 Internship Class participate in spiritual competency training in mental health.</w:t>
      </w:r>
    </w:p>
    <w:p w14:paraId="3D061E06" w14:textId="77777777" w:rsidR="00FC70FD" w:rsidRDefault="00FC70FD" w:rsidP="00FC70FD">
      <w:pPr>
        <w:pStyle w:val="ListParagraph"/>
        <w:rPr>
          <w:rFonts w:ascii="Times New Roman" w:hAnsi="Times New Roman" w:cs="Times New Roman"/>
          <w:sz w:val="24"/>
          <w:szCs w:val="24"/>
        </w:rPr>
      </w:pPr>
    </w:p>
    <w:p w14:paraId="0BF0B662" w14:textId="1F05813F" w:rsidR="005127A3" w:rsidRDefault="00A64875" w:rsidP="002C55D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MSC</w:t>
      </w:r>
      <w:r w:rsidR="009C0390">
        <w:rPr>
          <w:rFonts w:ascii="Times New Roman" w:hAnsi="Times New Roman" w:cs="Times New Roman"/>
          <w:sz w:val="24"/>
          <w:szCs w:val="24"/>
        </w:rPr>
        <w:t xml:space="preserve"> students in the COUN 721 Analysis of the Individual Class engage in applied learning experiences with intelligence tests, objective personality tests, and projective personality tests.</w:t>
      </w:r>
    </w:p>
    <w:p w14:paraId="4952ED56" w14:textId="77777777" w:rsidR="00FC70FD" w:rsidRDefault="00FC70FD" w:rsidP="00FC70FD">
      <w:pPr>
        <w:pStyle w:val="ListParagraph"/>
        <w:rPr>
          <w:rFonts w:ascii="Times New Roman" w:hAnsi="Times New Roman" w:cs="Times New Roman"/>
          <w:sz w:val="24"/>
          <w:szCs w:val="24"/>
        </w:rPr>
      </w:pPr>
    </w:p>
    <w:p w14:paraId="6FAA06C4" w14:textId="3AF66026" w:rsidR="008C621B" w:rsidRDefault="00141009" w:rsidP="008C621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MSC students and faculty attend and participate in the</w:t>
      </w:r>
      <w:r w:rsidR="008E6645">
        <w:rPr>
          <w:rFonts w:ascii="Times New Roman" w:hAnsi="Times New Roman" w:cs="Times New Roman"/>
          <w:sz w:val="24"/>
          <w:szCs w:val="24"/>
        </w:rPr>
        <w:t xml:space="preserve"> Brain Center Conference on Alzheimer’s Disease sponsored by LSU Health Sciences.</w:t>
      </w:r>
    </w:p>
    <w:p w14:paraId="7796FA01" w14:textId="77777777" w:rsidR="008C621B" w:rsidRDefault="008C621B" w:rsidP="008C621B">
      <w:pPr>
        <w:pStyle w:val="ListParagraph"/>
        <w:rPr>
          <w:rFonts w:ascii="Times New Roman" w:hAnsi="Times New Roman" w:cs="Times New Roman"/>
          <w:sz w:val="24"/>
          <w:szCs w:val="24"/>
        </w:rPr>
      </w:pPr>
    </w:p>
    <w:p w14:paraId="208CFFBF" w14:textId="27609164" w:rsidR="007C1607" w:rsidRDefault="008E6645" w:rsidP="006115D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MSC students and faculty attend and participate in the Louisiana Counseling Association Conference.</w:t>
      </w:r>
    </w:p>
    <w:p w14:paraId="5C3BFA95" w14:textId="77777777" w:rsidR="00925278" w:rsidRPr="002C55D1" w:rsidRDefault="00925278" w:rsidP="00925278">
      <w:pPr>
        <w:pStyle w:val="ListParagraph"/>
        <w:rPr>
          <w:rFonts w:ascii="Times New Roman" w:hAnsi="Times New Roman" w:cs="Times New Roman"/>
          <w:sz w:val="24"/>
          <w:szCs w:val="24"/>
        </w:rPr>
      </w:pPr>
    </w:p>
    <w:p w14:paraId="040908D0" w14:textId="77777777" w:rsidR="00DD346E" w:rsidRPr="007C1607" w:rsidRDefault="003C0260" w:rsidP="00DD346E">
      <w:pPr>
        <w:rPr>
          <w:rFonts w:ascii="Times New Roman" w:hAnsi="Times New Roman" w:cs="Times New Roman"/>
          <w:b/>
          <w:sz w:val="24"/>
          <w:szCs w:val="24"/>
        </w:rPr>
      </w:pPr>
      <w:r>
        <w:rPr>
          <w:rFonts w:ascii="Times New Roman" w:hAnsi="Times New Roman" w:cs="Times New Roman"/>
          <w:b/>
          <w:sz w:val="24"/>
          <w:szCs w:val="24"/>
        </w:rPr>
        <w:t>CACREP Student Outcome</w:t>
      </w:r>
      <w:r w:rsidR="00DD346E" w:rsidRPr="007C1607">
        <w:rPr>
          <w:rFonts w:ascii="Times New Roman" w:hAnsi="Times New Roman" w:cs="Times New Roman"/>
          <w:b/>
          <w:sz w:val="24"/>
          <w:szCs w:val="24"/>
        </w:rPr>
        <w:t xml:space="preserve"> Snapshot</w:t>
      </w:r>
      <w:r w:rsidR="007C1607" w:rsidRPr="007C1607">
        <w:rPr>
          <w:rFonts w:ascii="Times New Roman" w:hAnsi="Times New Roman" w:cs="Times New Roman"/>
          <w:b/>
          <w:sz w:val="24"/>
          <w:szCs w:val="24"/>
        </w:rPr>
        <w:t xml:space="preserve"> </w:t>
      </w:r>
    </w:p>
    <w:tbl>
      <w:tblPr>
        <w:tblStyle w:val="TableGrid"/>
        <w:tblW w:w="9625" w:type="dxa"/>
        <w:tblLook w:val="04A0" w:firstRow="1" w:lastRow="0" w:firstColumn="1" w:lastColumn="0" w:noHBand="0" w:noVBand="1"/>
      </w:tblPr>
      <w:tblGrid>
        <w:gridCol w:w="1558"/>
        <w:gridCol w:w="1558"/>
        <w:gridCol w:w="1558"/>
        <w:gridCol w:w="1558"/>
        <w:gridCol w:w="1773"/>
        <w:gridCol w:w="1620"/>
      </w:tblGrid>
      <w:tr w:rsidR="00DD346E" w14:paraId="4FB6EB89" w14:textId="77777777" w:rsidTr="007C1607">
        <w:tc>
          <w:tcPr>
            <w:tcW w:w="1558" w:type="dxa"/>
          </w:tcPr>
          <w:p w14:paraId="69A3CF81" w14:textId="77777777" w:rsidR="00DD346E" w:rsidRDefault="00DD346E" w:rsidP="00DD346E">
            <w:pPr>
              <w:rPr>
                <w:rFonts w:ascii="Times New Roman" w:hAnsi="Times New Roman" w:cs="Times New Roman"/>
                <w:sz w:val="24"/>
                <w:szCs w:val="24"/>
              </w:rPr>
            </w:pPr>
            <w:r>
              <w:rPr>
                <w:rFonts w:ascii="Times New Roman" w:hAnsi="Times New Roman" w:cs="Times New Roman"/>
                <w:sz w:val="24"/>
                <w:szCs w:val="24"/>
              </w:rPr>
              <w:t>Students Enrolled</w:t>
            </w:r>
          </w:p>
        </w:tc>
        <w:tc>
          <w:tcPr>
            <w:tcW w:w="1558" w:type="dxa"/>
          </w:tcPr>
          <w:p w14:paraId="4C5C6DB1" w14:textId="77777777" w:rsidR="00DD346E" w:rsidRDefault="00DD346E" w:rsidP="00DD346E">
            <w:pPr>
              <w:rPr>
                <w:rFonts w:ascii="Times New Roman" w:hAnsi="Times New Roman" w:cs="Times New Roman"/>
                <w:sz w:val="24"/>
                <w:szCs w:val="24"/>
              </w:rPr>
            </w:pPr>
            <w:r>
              <w:rPr>
                <w:rFonts w:ascii="Times New Roman" w:hAnsi="Times New Roman" w:cs="Times New Roman"/>
                <w:sz w:val="24"/>
                <w:szCs w:val="24"/>
              </w:rPr>
              <w:t xml:space="preserve">New Students </w:t>
            </w:r>
          </w:p>
        </w:tc>
        <w:tc>
          <w:tcPr>
            <w:tcW w:w="1558" w:type="dxa"/>
          </w:tcPr>
          <w:p w14:paraId="10E8F360" w14:textId="77777777" w:rsidR="00DD346E" w:rsidRDefault="007C1607" w:rsidP="00DD346E">
            <w:pPr>
              <w:rPr>
                <w:rFonts w:ascii="Times New Roman" w:hAnsi="Times New Roman" w:cs="Times New Roman"/>
                <w:sz w:val="24"/>
                <w:szCs w:val="24"/>
              </w:rPr>
            </w:pPr>
            <w:r>
              <w:rPr>
                <w:rFonts w:ascii="Times New Roman" w:hAnsi="Times New Roman" w:cs="Times New Roman"/>
                <w:sz w:val="24"/>
                <w:szCs w:val="24"/>
              </w:rPr>
              <w:t>Graduates</w:t>
            </w:r>
          </w:p>
        </w:tc>
        <w:tc>
          <w:tcPr>
            <w:tcW w:w="1558" w:type="dxa"/>
          </w:tcPr>
          <w:p w14:paraId="53CD55B5" w14:textId="77777777" w:rsidR="00DD346E" w:rsidRDefault="007C1607" w:rsidP="00DD346E">
            <w:pPr>
              <w:rPr>
                <w:rFonts w:ascii="Times New Roman" w:hAnsi="Times New Roman" w:cs="Times New Roman"/>
                <w:sz w:val="24"/>
                <w:szCs w:val="24"/>
              </w:rPr>
            </w:pPr>
            <w:r>
              <w:rPr>
                <w:rFonts w:ascii="Times New Roman" w:hAnsi="Times New Roman" w:cs="Times New Roman"/>
                <w:sz w:val="24"/>
                <w:szCs w:val="24"/>
              </w:rPr>
              <w:t>Completion Rate</w:t>
            </w:r>
          </w:p>
        </w:tc>
        <w:tc>
          <w:tcPr>
            <w:tcW w:w="1773" w:type="dxa"/>
          </w:tcPr>
          <w:p w14:paraId="075DE490" w14:textId="77777777" w:rsidR="00DD346E" w:rsidRDefault="007C1607" w:rsidP="00DD346E">
            <w:pPr>
              <w:rPr>
                <w:rFonts w:ascii="Times New Roman" w:hAnsi="Times New Roman" w:cs="Times New Roman"/>
                <w:sz w:val="24"/>
                <w:szCs w:val="24"/>
              </w:rPr>
            </w:pPr>
            <w:r>
              <w:rPr>
                <w:rFonts w:ascii="Times New Roman" w:hAnsi="Times New Roman" w:cs="Times New Roman"/>
                <w:sz w:val="24"/>
                <w:szCs w:val="24"/>
              </w:rPr>
              <w:t>Licensure Exam Pass Rate</w:t>
            </w:r>
          </w:p>
        </w:tc>
        <w:tc>
          <w:tcPr>
            <w:tcW w:w="1620" w:type="dxa"/>
          </w:tcPr>
          <w:p w14:paraId="381619B1" w14:textId="77777777" w:rsidR="00DD346E" w:rsidRDefault="007C1607" w:rsidP="00DD346E">
            <w:pPr>
              <w:rPr>
                <w:rFonts w:ascii="Times New Roman" w:hAnsi="Times New Roman" w:cs="Times New Roman"/>
                <w:sz w:val="24"/>
                <w:szCs w:val="24"/>
              </w:rPr>
            </w:pPr>
            <w:r>
              <w:rPr>
                <w:rFonts w:ascii="Times New Roman" w:hAnsi="Times New Roman" w:cs="Times New Roman"/>
                <w:sz w:val="24"/>
                <w:szCs w:val="24"/>
              </w:rPr>
              <w:t>Job Placement</w:t>
            </w:r>
          </w:p>
          <w:p w14:paraId="42E469AD" w14:textId="77777777" w:rsidR="007C1607" w:rsidRDefault="007C1607" w:rsidP="00DD346E">
            <w:pPr>
              <w:rPr>
                <w:rFonts w:ascii="Times New Roman" w:hAnsi="Times New Roman" w:cs="Times New Roman"/>
                <w:sz w:val="24"/>
                <w:szCs w:val="24"/>
              </w:rPr>
            </w:pPr>
            <w:r>
              <w:rPr>
                <w:rFonts w:ascii="Times New Roman" w:hAnsi="Times New Roman" w:cs="Times New Roman"/>
                <w:sz w:val="24"/>
                <w:szCs w:val="24"/>
              </w:rPr>
              <w:t>Rate</w:t>
            </w:r>
          </w:p>
        </w:tc>
      </w:tr>
      <w:tr w:rsidR="00DD346E" w14:paraId="488D78FF" w14:textId="77777777" w:rsidTr="007C1607">
        <w:tc>
          <w:tcPr>
            <w:tcW w:w="1558" w:type="dxa"/>
          </w:tcPr>
          <w:p w14:paraId="3776D0DE" w14:textId="0C5897B6" w:rsidR="00DD346E" w:rsidRDefault="00CD2C92" w:rsidP="00DD346E">
            <w:pPr>
              <w:rPr>
                <w:rFonts w:ascii="Times New Roman" w:hAnsi="Times New Roman" w:cs="Times New Roman"/>
                <w:sz w:val="24"/>
                <w:szCs w:val="24"/>
              </w:rPr>
            </w:pPr>
            <w:r>
              <w:rPr>
                <w:rFonts w:ascii="Times New Roman" w:hAnsi="Times New Roman" w:cs="Times New Roman"/>
                <w:sz w:val="24"/>
                <w:szCs w:val="24"/>
              </w:rPr>
              <w:t>50</w:t>
            </w:r>
          </w:p>
        </w:tc>
        <w:tc>
          <w:tcPr>
            <w:tcW w:w="1558" w:type="dxa"/>
          </w:tcPr>
          <w:p w14:paraId="6437B647" w14:textId="2B26EBB1" w:rsidR="00DD346E" w:rsidRDefault="00FF5ADA" w:rsidP="00DD346E">
            <w:pPr>
              <w:rPr>
                <w:rFonts w:ascii="Times New Roman" w:hAnsi="Times New Roman" w:cs="Times New Roman"/>
                <w:sz w:val="24"/>
                <w:szCs w:val="24"/>
              </w:rPr>
            </w:pPr>
            <w:r>
              <w:rPr>
                <w:rFonts w:ascii="Times New Roman" w:hAnsi="Times New Roman" w:cs="Times New Roman"/>
                <w:sz w:val="24"/>
                <w:szCs w:val="24"/>
              </w:rPr>
              <w:t>2</w:t>
            </w:r>
            <w:r w:rsidR="00CD2C92">
              <w:rPr>
                <w:rFonts w:ascii="Times New Roman" w:hAnsi="Times New Roman" w:cs="Times New Roman"/>
                <w:sz w:val="24"/>
                <w:szCs w:val="24"/>
              </w:rPr>
              <w:t>5</w:t>
            </w:r>
          </w:p>
        </w:tc>
        <w:tc>
          <w:tcPr>
            <w:tcW w:w="1558" w:type="dxa"/>
          </w:tcPr>
          <w:p w14:paraId="4858B5A2" w14:textId="30DAEADF" w:rsidR="00DD346E" w:rsidRDefault="00CD2C92" w:rsidP="00DD346E">
            <w:pPr>
              <w:rPr>
                <w:rFonts w:ascii="Times New Roman" w:hAnsi="Times New Roman" w:cs="Times New Roman"/>
                <w:sz w:val="24"/>
                <w:szCs w:val="24"/>
              </w:rPr>
            </w:pPr>
            <w:r>
              <w:rPr>
                <w:rFonts w:ascii="Times New Roman" w:hAnsi="Times New Roman" w:cs="Times New Roman"/>
                <w:sz w:val="24"/>
                <w:szCs w:val="24"/>
              </w:rPr>
              <w:t>17</w:t>
            </w:r>
          </w:p>
        </w:tc>
        <w:tc>
          <w:tcPr>
            <w:tcW w:w="1558" w:type="dxa"/>
          </w:tcPr>
          <w:p w14:paraId="0E3CDAA7" w14:textId="0CE5C393" w:rsidR="00DD346E" w:rsidRDefault="0059044E" w:rsidP="00DD346E">
            <w:pPr>
              <w:rPr>
                <w:rFonts w:ascii="Times New Roman" w:hAnsi="Times New Roman" w:cs="Times New Roman"/>
                <w:sz w:val="24"/>
                <w:szCs w:val="24"/>
              </w:rPr>
            </w:pPr>
            <w:r>
              <w:rPr>
                <w:rFonts w:ascii="Times New Roman" w:hAnsi="Times New Roman" w:cs="Times New Roman"/>
                <w:sz w:val="24"/>
                <w:szCs w:val="24"/>
              </w:rPr>
              <w:t>9</w:t>
            </w:r>
            <w:r w:rsidR="00FF5ADA">
              <w:rPr>
                <w:rFonts w:ascii="Times New Roman" w:hAnsi="Times New Roman" w:cs="Times New Roman"/>
                <w:sz w:val="24"/>
                <w:szCs w:val="24"/>
              </w:rPr>
              <w:t>6</w:t>
            </w:r>
            <w:r>
              <w:rPr>
                <w:rFonts w:ascii="Times New Roman" w:hAnsi="Times New Roman" w:cs="Times New Roman"/>
                <w:sz w:val="24"/>
                <w:szCs w:val="24"/>
              </w:rPr>
              <w:t>%</w:t>
            </w:r>
          </w:p>
        </w:tc>
        <w:tc>
          <w:tcPr>
            <w:tcW w:w="1773" w:type="dxa"/>
          </w:tcPr>
          <w:p w14:paraId="4F9CE121" w14:textId="65D972F9" w:rsidR="00DD346E" w:rsidRDefault="0059044E" w:rsidP="00DD346E">
            <w:pPr>
              <w:rPr>
                <w:rFonts w:ascii="Times New Roman" w:hAnsi="Times New Roman" w:cs="Times New Roman"/>
                <w:sz w:val="24"/>
                <w:szCs w:val="24"/>
              </w:rPr>
            </w:pPr>
            <w:r>
              <w:rPr>
                <w:rFonts w:ascii="Times New Roman" w:hAnsi="Times New Roman" w:cs="Times New Roman"/>
                <w:sz w:val="24"/>
                <w:szCs w:val="24"/>
              </w:rPr>
              <w:t>100%</w:t>
            </w:r>
          </w:p>
        </w:tc>
        <w:tc>
          <w:tcPr>
            <w:tcW w:w="1620" w:type="dxa"/>
          </w:tcPr>
          <w:p w14:paraId="50758C20" w14:textId="70CC1B20" w:rsidR="00DD346E" w:rsidRDefault="00CD2C92" w:rsidP="00DD346E">
            <w:pPr>
              <w:rPr>
                <w:rFonts w:ascii="Times New Roman" w:hAnsi="Times New Roman" w:cs="Times New Roman"/>
                <w:sz w:val="24"/>
                <w:szCs w:val="24"/>
              </w:rPr>
            </w:pPr>
            <w:r>
              <w:rPr>
                <w:rFonts w:ascii="Times New Roman" w:hAnsi="Times New Roman" w:cs="Times New Roman"/>
                <w:sz w:val="24"/>
                <w:szCs w:val="24"/>
              </w:rPr>
              <w:t>94</w:t>
            </w:r>
            <w:r w:rsidR="00AC73B1">
              <w:rPr>
                <w:rFonts w:ascii="Times New Roman" w:hAnsi="Times New Roman" w:cs="Times New Roman"/>
                <w:sz w:val="24"/>
                <w:szCs w:val="24"/>
              </w:rPr>
              <w:t>%</w:t>
            </w:r>
          </w:p>
        </w:tc>
      </w:tr>
    </w:tbl>
    <w:p w14:paraId="7052D127" w14:textId="77777777" w:rsidR="00925278" w:rsidRDefault="00925278" w:rsidP="00DD346E">
      <w:pPr>
        <w:rPr>
          <w:rFonts w:ascii="Times New Roman" w:hAnsi="Times New Roman" w:cs="Times New Roman"/>
          <w:sz w:val="24"/>
          <w:szCs w:val="24"/>
        </w:rPr>
      </w:pPr>
    </w:p>
    <w:p w14:paraId="342EC2C0" w14:textId="77777777" w:rsidR="007C1607" w:rsidRPr="005E3A41" w:rsidRDefault="00C9171C" w:rsidP="00DD346E">
      <w:pPr>
        <w:rPr>
          <w:rFonts w:ascii="Times New Roman" w:hAnsi="Times New Roman" w:cs="Times New Roman"/>
          <w:b/>
          <w:sz w:val="24"/>
          <w:szCs w:val="24"/>
        </w:rPr>
      </w:pPr>
      <w:r>
        <w:rPr>
          <w:rFonts w:ascii="Times New Roman" w:hAnsi="Times New Roman" w:cs="Times New Roman"/>
          <w:b/>
          <w:sz w:val="24"/>
          <w:szCs w:val="24"/>
        </w:rPr>
        <w:t>Substantial Program Changes</w:t>
      </w:r>
    </w:p>
    <w:p w14:paraId="20799FDB" w14:textId="2B061655" w:rsidR="00BA176F" w:rsidRDefault="006F58D6" w:rsidP="00DD346E">
      <w:pPr>
        <w:rPr>
          <w:rFonts w:ascii="Times New Roman" w:hAnsi="Times New Roman" w:cs="Times New Roman"/>
          <w:sz w:val="24"/>
          <w:szCs w:val="24"/>
        </w:rPr>
      </w:pPr>
      <w:r>
        <w:rPr>
          <w:rFonts w:ascii="Times New Roman" w:hAnsi="Times New Roman" w:cs="Times New Roman"/>
          <w:sz w:val="24"/>
          <w:szCs w:val="24"/>
        </w:rPr>
        <w:t xml:space="preserve">1).  </w:t>
      </w:r>
      <w:r w:rsidR="0064268D">
        <w:rPr>
          <w:rFonts w:ascii="Times New Roman" w:hAnsi="Times New Roman" w:cs="Times New Roman"/>
          <w:sz w:val="24"/>
          <w:szCs w:val="24"/>
        </w:rPr>
        <w:t>Dr. Michael Becerra has been hired as a core faculty member of the MSC Program.</w:t>
      </w:r>
    </w:p>
    <w:p w14:paraId="1ECF380D" w14:textId="3F4BF2EC" w:rsidR="006F58D6" w:rsidRDefault="006F58D6" w:rsidP="00DD346E">
      <w:pPr>
        <w:rPr>
          <w:rFonts w:ascii="Times New Roman" w:hAnsi="Times New Roman" w:cs="Times New Roman"/>
          <w:sz w:val="24"/>
          <w:szCs w:val="24"/>
        </w:rPr>
      </w:pPr>
      <w:r>
        <w:rPr>
          <w:rFonts w:ascii="Times New Roman" w:hAnsi="Times New Roman" w:cs="Times New Roman"/>
          <w:sz w:val="24"/>
          <w:szCs w:val="24"/>
        </w:rPr>
        <w:t xml:space="preserve">2).  </w:t>
      </w:r>
      <w:r w:rsidR="0064268D">
        <w:rPr>
          <w:rFonts w:ascii="Times New Roman" w:hAnsi="Times New Roman" w:cs="Times New Roman"/>
          <w:sz w:val="24"/>
          <w:szCs w:val="24"/>
        </w:rPr>
        <w:t>Professor James Evans, instructor of some elective courses taken by MSC students, retired in May 2022.</w:t>
      </w:r>
    </w:p>
    <w:p w14:paraId="51A66EB4" w14:textId="07E83EFC" w:rsidR="00E275CB" w:rsidRDefault="00E275CB" w:rsidP="00DD346E">
      <w:pPr>
        <w:rPr>
          <w:rFonts w:ascii="Times New Roman" w:hAnsi="Times New Roman" w:cs="Times New Roman"/>
          <w:sz w:val="24"/>
          <w:szCs w:val="24"/>
        </w:rPr>
      </w:pPr>
      <w:r>
        <w:rPr>
          <w:rFonts w:ascii="Times New Roman" w:hAnsi="Times New Roman" w:cs="Times New Roman"/>
          <w:sz w:val="24"/>
          <w:szCs w:val="24"/>
        </w:rPr>
        <w:t xml:space="preserve">3).  </w:t>
      </w:r>
      <w:r w:rsidR="0064268D">
        <w:rPr>
          <w:rFonts w:ascii="Times New Roman" w:hAnsi="Times New Roman" w:cs="Times New Roman"/>
          <w:sz w:val="24"/>
          <w:szCs w:val="24"/>
        </w:rPr>
        <w:t>Dr. Lee Purvis, Director of the Community Counseling and Psychology Clinic,</w:t>
      </w:r>
      <w:r w:rsidR="00E21ADC">
        <w:rPr>
          <w:rFonts w:ascii="Times New Roman" w:hAnsi="Times New Roman" w:cs="Times New Roman"/>
          <w:sz w:val="24"/>
          <w:szCs w:val="24"/>
        </w:rPr>
        <w:t xml:space="preserve"> has moved to Gainesville, FL for a professorship at the University of Florida.</w:t>
      </w:r>
    </w:p>
    <w:p w14:paraId="73C4F920" w14:textId="4DA1359A" w:rsidR="00E21ADC" w:rsidRDefault="00E21ADC" w:rsidP="00DD346E">
      <w:pPr>
        <w:rPr>
          <w:rFonts w:ascii="Times New Roman" w:hAnsi="Times New Roman" w:cs="Times New Roman"/>
          <w:sz w:val="24"/>
          <w:szCs w:val="24"/>
        </w:rPr>
      </w:pPr>
      <w:r>
        <w:rPr>
          <w:rFonts w:ascii="Times New Roman" w:hAnsi="Times New Roman" w:cs="Times New Roman"/>
          <w:sz w:val="24"/>
          <w:szCs w:val="24"/>
        </w:rPr>
        <w:t>4).  Dr. Tracie Pasold will teach the PSYC 709 and COUN 724 courses.</w:t>
      </w:r>
    </w:p>
    <w:p w14:paraId="3C923A8C" w14:textId="50C7450A" w:rsidR="00E21ADC" w:rsidRDefault="00E21ADC" w:rsidP="00DD346E">
      <w:pPr>
        <w:rPr>
          <w:rFonts w:ascii="Times New Roman" w:hAnsi="Times New Roman" w:cs="Times New Roman"/>
          <w:sz w:val="24"/>
          <w:szCs w:val="24"/>
        </w:rPr>
      </w:pPr>
      <w:r>
        <w:rPr>
          <w:rFonts w:ascii="Times New Roman" w:hAnsi="Times New Roman" w:cs="Times New Roman"/>
          <w:sz w:val="24"/>
          <w:szCs w:val="24"/>
        </w:rPr>
        <w:t>5).  MSC students may take the NCE during their last semester of</w:t>
      </w:r>
      <w:r w:rsidR="009E400F">
        <w:rPr>
          <w:rFonts w:ascii="Times New Roman" w:hAnsi="Times New Roman" w:cs="Times New Roman"/>
          <w:sz w:val="24"/>
          <w:szCs w:val="24"/>
        </w:rPr>
        <w:t xml:space="preserve"> the program</w:t>
      </w:r>
      <w:r>
        <w:rPr>
          <w:rFonts w:ascii="Times New Roman" w:hAnsi="Times New Roman" w:cs="Times New Roman"/>
          <w:sz w:val="24"/>
          <w:szCs w:val="24"/>
        </w:rPr>
        <w:t>, prior to graduation.</w:t>
      </w:r>
    </w:p>
    <w:p w14:paraId="5464C705" w14:textId="3C283E99" w:rsidR="00E21ADC" w:rsidRDefault="00E21ADC" w:rsidP="00DD346E">
      <w:pPr>
        <w:rPr>
          <w:rFonts w:ascii="Times New Roman" w:hAnsi="Times New Roman" w:cs="Times New Roman"/>
          <w:sz w:val="24"/>
          <w:szCs w:val="24"/>
        </w:rPr>
      </w:pPr>
      <w:r>
        <w:rPr>
          <w:rFonts w:ascii="Times New Roman" w:hAnsi="Times New Roman" w:cs="Times New Roman"/>
          <w:sz w:val="24"/>
          <w:szCs w:val="24"/>
        </w:rPr>
        <w:t xml:space="preserve">6).  The </w:t>
      </w:r>
      <w:r w:rsidR="004E0D90">
        <w:rPr>
          <w:rFonts w:ascii="Times New Roman" w:hAnsi="Times New Roman" w:cs="Times New Roman"/>
          <w:sz w:val="24"/>
          <w:szCs w:val="24"/>
        </w:rPr>
        <w:t xml:space="preserve">LSUS </w:t>
      </w:r>
      <w:r>
        <w:rPr>
          <w:rFonts w:ascii="Times New Roman" w:hAnsi="Times New Roman" w:cs="Times New Roman"/>
          <w:sz w:val="24"/>
          <w:szCs w:val="24"/>
        </w:rPr>
        <w:t xml:space="preserve">Graduate School has enacted a new student orientation program for first semester students.  </w:t>
      </w:r>
    </w:p>
    <w:p w14:paraId="3301D75C" w14:textId="7F10A1A9" w:rsidR="00E21ADC" w:rsidRDefault="00E21ADC" w:rsidP="00DD346E">
      <w:pPr>
        <w:rPr>
          <w:rFonts w:ascii="Times New Roman" w:hAnsi="Times New Roman" w:cs="Times New Roman"/>
          <w:sz w:val="24"/>
          <w:szCs w:val="24"/>
        </w:rPr>
      </w:pPr>
      <w:r>
        <w:rPr>
          <w:rFonts w:ascii="Times New Roman" w:hAnsi="Times New Roman" w:cs="Times New Roman"/>
          <w:sz w:val="24"/>
          <w:szCs w:val="24"/>
        </w:rPr>
        <w:t xml:space="preserve">7).  </w:t>
      </w:r>
      <w:r w:rsidR="004E0D90">
        <w:rPr>
          <w:rFonts w:ascii="Times New Roman" w:hAnsi="Times New Roman" w:cs="Times New Roman"/>
          <w:sz w:val="24"/>
          <w:szCs w:val="24"/>
        </w:rPr>
        <w:t xml:space="preserve">The </w:t>
      </w:r>
      <w:r>
        <w:rPr>
          <w:rFonts w:ascii="Times New Roman" w:hAnsi="Times New Roman" w:cs="Times New Roman"/>
          <w:sz w:val="24"/>
          <w:szCs w:val="24"/>
        </w:rPr>
        <w:t xml:space="preserve">LSUS Graduate School has Graduate Scholar Awards available </w:t>
      </w:r>
      <w:r w:rsidR="000F4C46">
        <w:rPr>
          <w:rFonts w:ascii="Times New Roman" w:hAnsi="Times New Roman" w:cs="Times New Roman"/>
          <w:sz w:val="24"/>
          <w:szCs w:val="24"/>
        </w:rPr>
        <w:t xml:space="preserve">which provides funding </w:t>
      </w:r>
      <w:r>
        <w:rPr>
          <w:rFonts w:ascii="Times New Roman" w:hAnsi="Times New Roman" w:cs="Times New Roman"/>
          <w:sz w:val="24"/>
          <w:szCs w:val="24"/>
        </w:rPr>
        <w:t>for graduate students to attend local, state, national, and international conferences.</w:t>
      </w:r>
    </w:p>
    <w:p w14:paraId="3DA6FFB3" w14:textId="461942CC" w:rsidR="006F58D6" w:rsidRDefault="00B20337" w:rsidP="00DD346E">
      <w:pPr>
        <w:rPr>
          <w:rFonts w:ascii="Times New Roman" w:hAnsi="Times New Roman" w:cs="Times New Roman"/>
          <w:sz w:val="24"/>
          <w:szCs w:val="24"/>
        </w:rPr>
      </w:pPr>
      <w:r>
        <w:rPr>
          <w:rFonts w:ascii="Times New Roman" w:hAnsi="Times New Roman" w:cs="Times New Roman"/>
          <w:sz w:val="24"/>
          <w:szCs w:val="24"/>
        </w:rPr>
        <w:lastRenderedPageBreak/>
        <w:t>8).  The LSUS Graduate School has a new student association for graduate students, the Graduate Student Association (GSA).</w:t>
      </w:r>
    </w:p>
    <w:p w14:paraId="00F203B7" w14:textId="6AA37FA3" w:rsidR="005E3A41" w:rsidRPr="00DD346E" w:rsidRDefault="005E3A41" w:rsidP="00DD346E">
      <w:pPr>
        <w:rPr>
          <w:rFonts w:ascii="Times New Roman" w:hAnsi="Times New Roman" w:cs="Times New Roman"/>
          <w:sz w:val="24"/>
          <w:szCs w:val="24"/>
        </w:rPr>
      </w:pPr>
    </w:p>
    <w:sectPr w:rsidR="005E3A41" w:rsidRPr="00DD34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C2C88"/>
    <w:multiLevelType w:val="hybridMultilevel"/>
    <w:tmpl w:val="C56697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430532"/>
    <w:multiLevelType w:val="hybridMultilevel"/>
    <w:tmpl w:val="AB58E1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5484326">
    <w:abstractNumId w:val="0"/>
  </w:num>
  <w:num w:numId="2" w16cid:durableId="350956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AC"/>
    <w:rsid w:val="000402FA"/>
    <w:rsid w:val="00051C99"/>
    <w:rsid w:val="00095CFC"/>
    <w:rsid w:val="000B05F2"/>
    <w:rsid w:val="000B12B8"/>
    <w:rsid w:val="000F4C46"/>
    <w:rsid w:val="00106F79"/>
    <w:rsid w:val="001128A4"/>
    <w:rsid w:val="00141009"/>
    <w:rsid w:val="0014778F"/>
    <w:rsid w:val="001C7A76"/>
    <w:rsid w:val="001D1517"/>
    <w:rsid w:val="002151B7"/>
    <w:rsid w:val="00237509"/>
    <w:rsid w:val="002A411C"/>
    <w:rsid w:val="002C55D1"/>
    <w:rsid w:val="00355BEB"/>
    <w:rsid w:val="00384846"/>
    <w:rsid w:val="003C0260"/>
    <w:rsid w:val="003E1AEA"/>
    <w:rsid w:val="004047A2"/>
    <w:rsid w:val="00411306"/>
    <w:rsid w:val="004C30D3"/>
    <w:rsid w:val="004D5ABD"/>
    <w:rsid w:val="004E0D90"/>
    <w:rsid w:val="005127A3"/>
    <w:rsid w:val="00560AAC"/>
    <w:rsid w:val="0059044E"/>
    <w:rsid w:val="00594402"/>
    <w:rsid w:val="00595663"/>
    <w:rsid w:val="005B31D5"/>
    <w:rsid w:val="005E3A41"/>
    <w:rsid w:val="0064268D"/>
    <w:rsid w:val="0064777F"/>
    <w:rsid w:val="0066264C"/>
    <w:rsid w:val="006826D3"/>
    <w:rsid w:val="00693295"/>
    <w:rsid w:val="006F58D6"/>
    <w:rsid w:val="00725DCA"/>
    <w:rsid w:val="00727281"/>
    <w:rsid w:val="00731CA0"/>
    <w:rsid w:val="0073253E"/>
    <w:rsid w:val="00777902"/>
    <w:rsid w:val="007A6C41"/>
    <w:rsid w:val="007C1607"/>
    <w:rsid w:val="00837F99"/>
    <w:rsid w:val="00880855"/>
    <w:rsid w:val="008842D3"/>
    <w:rsid w:val="008A1FEA"/>
    <w:rsid w:val="008C187E"/>
    <w:rsid w:val="008C621B"/>
    <w:rsid w:val="008E6645"/>
    <w:rsid w:val="00905C74"/>
    <w:rsid w:val="00907F74"/>
    <w:rsid w:val="00924C15"/>
    <w:rsid w:val="00925278"/>
    <w:rsid w:val="00954BFF"/>
    <w:rsid w:val="00966DC0"/>
    <w:rsid w:val="009B0A61"/>
    <w:rsid w:val="009B77CE"/>
    <w:rsid w:val="009C0390"/>
    <w:rsid w:val="009E39BA"/>
    <w:rsid w:val="009E400F"/>
    <w:rsid w:val="009F6151"/>
    <w:rsid w:val="009F7698"/>
    <w:rsid w:val="00A0783E"/>
    <w:rsid w:val="00A160F6"/>
    <w:rsid w:val="00A32B8E"/>
    <w:rsid w:val="00A64875"/>
    <w:rsid w:val="00A64962"/>
    <w:rsid w:val="00A91BAD"/>
    <w:rsid w:val="00AC73B1"/>
    <w:rsid w:val="00AF75B0"/>
    <w:rsid w:val="00B0717A"/>
    <w:rsid w:val="00B20337"/>
    <w:rsid w:val="00B430AF"/>
    <w:rsid w:val="00BA176F"/>
    <w:rsid w:val="00BA532C"/>
    <w:rsid w:val="00BD69EA"/>
    <w:rsid w:val="00BF3982"/>
    <w:rsid w:val="00BF58C6"/>
    <w:rsid w:val="00C01A05"/>
    <w:rsid w:val="00C03822"/>
    <w:rsid w:val="00C04C75"/>
    <w:rsid w:val="00C307E6"/>
    <w:rsid w:val="00C32B19"/>
    <w:rsid w:val="00C9171C"/>
    <w:rsid w:val="00CD2C92"/>
    <w:rsid w:val="00D56B39"/>
    <w:rsid w:val="00D74201"/>
    <w:rsid w:val="00DD1C3B"/>
    <w:rsid w:val="00DD346E"/>
    <w:rsid w:val="00DE0ADF"/>
    <w:rsid w:val="00E21ADC"/>
    <w:rsid w:val="00E275CB"/>
    <w:rsid w:val="00ED4BB1"/>
    <w:rsid w:val="00F13653"/>
    <w:rsid w:val="00F47804"/>
    <w:rsid w:val="00FC5F37"/>
    <w:rsid w:val="00FC70FD"/>
    <w:rsid w:val="00FE716F"/>
    <w:rsid w:val="00FF2557"/>
    <w:rsid w:val="00FF5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7575D"/>
  <w15:chartTrackingRefBased/>
  <w15:docId w15:val="{3DF04480-E9B5-46FC-AF43-98FA3A55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3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Kacie Blalock</dc:creator>
  <cp:keywords/>
  <dc:description/>
  <cp:lastModifiedBy>Kacie Blalock</cp:lastModifiedBy>
  <cp:revision>13</cp:revision>
  <cp:lastPrinted>2019-03-25T20:52:00Z</cp:lastPrinted>
  <dcterms:created xsi:type="dcterms:W3CDTF">2022-10-13T05:09:00Z</dcterms:created>
  <dcterms:modified xsi:type="dcterms:W3CDTF">2022-10-13T06:00:00Z</dcterms:modified>
</cp:coreProperties>
</file>